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1887" w14:textId="77777777" w:rsidR="00447AE9" w:rsidRDefault="00447AE9" w:rsidP="00447AE9">
      <w:pPr>
        <w:rPr>
          <w:b/>
          <w:bCs/>
          <w:sz w:val="40"/>
          <w:szCs w:val="40"/>
          <w:u w:val="single"/>
        </w:rPr>
      </w:pPr>
      <w:r>
        <w:rPr>
          <w:b/>
          <w:bCs/>
          <w:sz w:val="40"/>
          <w:szCs w:val="40"/>
          <w:u w:val="single"/>
        </w:rPr>
        <w:t xml:space="preserve">DOPRAVNÍ BALÍČEK – POZOR </w:t>
      </w:r>
      <w:proofErr w:type="gramStart"/>
      <w:r>
        <w:rPr>
          <w:b/>
          <w:bCs/>
          <w:sz w:val="40"/>
          <w:szCs w:val="40"/>
          <w:u w:val="single"/>
        </w:rPr>
        <w:t>NOVINKA !!!</w:t>
      </w:r>
      <w:proofErr w:type="gramEnd"/>
    </w:p>
    <w:p w14:paraId="66CAC384" w14:textId="77777777" w:rsidR="00447AE9" w:rsidRDefault="00447AE9" w:rsidP="00A33DE9">
      <w:pPr>
        <w:jc w:val="both"/>
        <w:rPr>
          <w:b/>
          <w:bCs/>
          <w:highlight w:val="yellow"/>
        </w:rPr>
      </w:pPr>
      <w:r>
        <w:rPr>
          <w:b/>
          <w:bCs/>
          <w:highlight w:val="yellow"/>
        </w:rPr>
        <w:t>Co přinesl evropský dopravní balíček dopravcům provozujícím dopravu s malými vozidly</w:t>
      </w:r>
    </w:p>
    <w:p w14:paraId="0BBB7BF1" w14:textId="77777777" w:rsidR="00447AE9" w:rsidRDefault="00447AE9" w:rsidP="00447AE9">
      <w:pPr>
        <w:jc w:val="both"/>
        <w:rPr>
          <w:highlight w:val="yellow"/>
        </w:rPr>
      </w:pPr>
      <w:r>
        <w:rPr>
          <w:highlight w:val="yellow"/>
        </w:rPr>
        <w:t xml:space="preserve">V roce 2020 schválila Evropská unie dopravní balíček nařízení a směrnice. Zejména o dvě nařízení by se měli zajímat dopravci provozující nákladní silniční dopravu s vozidly, jejichž největší přípustná hmotnost, včetně největší přípustné hmotnosti přípojného vozidla přesahuje 2,5 tuny. Jedná se o </w:t>
      </w:r>
      <w:r>
        <w:rPr>
          <w:b/>
          <w:bCs/>
          <w:highlight w:val="yellow"/>
        </w:rPr>
        <w:t xml:space="preserve">nařízení (EU) č. 2020/1054, </w:t>
      </w:r>
      <w:r>
        <w:rPr>
          <w:highlight w:val="yellow"/>
        </w:rPr>
        <w:t xml:space="preserve">kterým se mění nařízení (ES) č. 561/2006, pokud jde o minimální požadavky na maximální denní a týdenní dobu řízení, minimální přestávky v řízení a týdenní doby odpočinku a nařízení (EU) č. 165/2014 pokud jde o určování polohy pomocí tachografu a </w:t>
      </w:r>
      <w:r>
        <w:rPr>
          <w:b/>
          <w:bCs/>
          <w:highlight w:val="yellow"/>
        </w:rPr>
        <w:t>nařízení (EU) č. 2020/1055</w:t>
      </w:r>
      <w:r>
        <w:rPr>
          <w:highlight w:val="yellow"/>
        </w:rPr>
        <w:t>, které mění nařízení (ES) č. 1071/2009, nařízení (ES) č. 1072/2009 a nařízení (EU) č. 1024/2012 za účelem jejich přizpůsobení vývoji v odvětví silniční dopravy.</w:t>
      </w:r>
    </w:p>
    <w:p w14:paraId="328E8FFD" w14:textId="77777777" w:rsidR="00447AE9" w:rsidRDefault="00447AE9" w:rsidP="00A33DE9">
      <w:pPr>
        <w:rPr>
          <w:highlight w:val="yellow"/>
        </w:rPr>
      </w:pPr>
      <w:r>
        <w:rPr>
          <w:highlight w:val="yellow"/>
        </w:rPr>
        <w:t>Co je z těchto nařízení pro dopravce důležité</w:t>
      </w:r>
      <w:r w:rsidR="00A33DE9">
        <w:rPr>
          <w:highlight w:val="yellow"/>
        </w:rPr>
        <w:t>:</w:t>
      </w:r>
      <w:r>
        <w:rPr>
          <w:highlight w:val="yellow"/>
        </w:rPr>
        <w:t xml:space="preserve"> </w:t>
      </w:r>
    </w:p>
    <w:p w14:paraId="2236A2AC" w14:textId="77777777" w:rsidR="00A33DE9" w:rsidRDefault="00A33DE9" w:rsidP="00447AE9">
      <w:pPr>
        <w:jc w:val="both"/>
        <w:rPr>
          <w:highlight w:val="yellow"/>
        </w:rPr>
      </w:pPr>
    </w:p>
    <w:p w14:paraId="250B5815" w14:textId="77777777" w:rsidR="00447AE9" w:rsidRDefault="00447AE9" w:rsidP="00447AE9">
      <w:pPr>
        <w:jc w:val="both"/>
        <w:rPr>
          <w:highlight w:val="yellow"/>
        </w:rPr>
      </w:pPr>
      <w:r>
        <w:rPr>
          <w:highlight w:val="yellow"/>
        </w:rPr>
        <w:t xml:space="preserve">I. Dopravci, kteří </w:t>
      </w:r>
      <w:bookmarkStart w:id="0" w:name="_Hlk62658848"/>
      <w:r>
        <w:rPr>
          <w:highlight w:val="yellow"/>
        </w:rPr>
        <w:t xml:space="preserve">podnikají v silniční nákladní dopravě </w:t>
      </w:r>
      <w:bookmarkEnd w:id="0"/>
      <w:r>
        <w:rPr>
          <w:b/>
          <w:bCs/>
          <w:highlight w:val="yellow"/>
        </w:rPr>
        <w:t>výhradně s </w:t>
      </w:r>
      <w:bookmarkStart w:id="1" w:name="_Hlk62657603"/>
      <w:r>
        <w:rPr>
          <w:b/>
          <w:bCs/>
          <w:highlight w:val="yellow"/>
        </w:rPr>
        <w:t xml:space="preserve">motorovými vozidly nebo jízdními soupravami, jejichž přípustná hmotnost naloženého vozidla nebo soupravy </w:t>
      </w:r>
      <w:bookmarkEnd w:id="1"/>
      <w:r>
        <w:rPr>
          <w:b/>
          <w:bCs/>
          <w:highlight w:val="yellow"/>
        </w:rPr>
        <w:t>přesahuje 2,5 tuny, ale nepřesáhne 3,5 tuny,</w:t>
      </w:r>
      <w:r>
        <w:rPr>
          <w:highlight w:val="yellow"/>
        </w:rPr>
        <w:t xml:space="preserve"> provozují dopravu, aniž musí splňovat požadavek daný nařízením (ES) č. 1071/2009, který se týká:</w:t>
      </w:r>
    </w:p>
    <w:p w14:paraId="3F3EEEED" w14:textId="77777777" w:rsidR="00447AE9" w:rsidRDefault="00447AE9" w:rsidP="00447AE9">
      <w:pPr>
        <w:pStyle w:val="Odstavecseseznamem"/>
        <w:ind w:hanging="360"/>
        <w:rPr>
          <w:highlight w:val="yellow"/>
        </w:rPr>
      </w:pPr>
      <w:r>
        <w:rPr>
          <w:rFonts w:ascii="Symbol" w:hAnsi="Symbol"/>
          <w:highlight w:val="yellow"/>
        </w:rPr>
        <w:t></w:t>
      </w:r>
      <w:r>
        <w:rPr>
          <w:sz w:val="14"/>
          <w:szCs w:val="14"/>
          <w:highlight w:val="yellow"/>
        </w:rPr>
        <w:t xml:space="preserve">         </w:t>
      </w:r>
      <w:r>
        <w:rPr>
          <w:highlight w:val="yellow"/>
        </w:rPr>
        <w:t>řádného a trvalého usazení v členském státě;</w:t>
      </w:r>
    </w:p>
    <w:p w14:paraId="6C60D702" w14:textId="77777777" w:rsidR="00447AE9" w:rsidRDefault="00447AE9" w:rsidP="00447AE9">
      <w:pPr>
        <w:pStyle w:val="Odstavecseseznamem"/>
        <w:ind w:hanging="360"/>
        <w:rPr>
          <w:highlight w:val="yellow"/>
        </w:rPr>
      </w:pPr>
      <w:r>
        <w:rPr>
          <w:rFonts w:ascii="Symbol" w:hAnsi="Symbol"/>
          <w:highlight w:val="yellow"/>
        </w:rPr>
        <w:t></w:t>
      </w:r>
      <w:r>
        <w:rPr>
          <w:sz w:val="14"/>
          <w:szCs w:val="14"/>
          <w:highlight w:val="yellow"/>
        </w:rPr>
        <w:t xml:space="preserve">         </w:t>
      </w:r>
      <w:r>
        <w:rPr>
          <w:highlight w:val="yellow"/>
        </w:rPr>
        <w:t>dobré pověsti;</w:t>
      </w:r>
    </w:p>
    <w:p w14:paraId="5A254A8E" w14:textId="77777777" w:rsidR="00447AE9" w:rsidRDefault="00447AE9" w:rsidP="00447AE9">
      <w:pPr>
        <w:pStyle w:val="Odstavecseseznamem"/>
        <w:ind w:hanging="360"/>
        <w:rPr>
          <w:highlight w:val="yellow"/>
        </w:rPr>
      </w:pPr>
      <w:r>
        <w:rPr>
          <w:rFonts w:ascii="Symbol" w:hAnsi="Symbol"/>
          <w:highlight w:val="yellow"/>
        </w:rPr>
        <w:t></w:t>
      </w:r>
      <w:r>
        <w:rPr>
          <w:sz w:val="14"/>
          <w:szCs w:val="14"/>
          <w:highlight w:val="yellow"/>
        </w:rPr>
        <w:t xml:space="preserve">         </w:t>
      </w:r>
      <w:r>
        <w:rPr>
          <w:highlight w:val="yellow"/>
        </w:rPr>
        <w:t xml:space="preserve">finanční způsobilosti a  </w:t>
      </w:r>
    </w:p>
    <w:p w14:paraId="63AA19E7" w14:textId="77777777" w:rsidR="00447AE9" w:rsidRDefault="00447AE9" w:rsidP="00447AE9">
      <w:pPr>
        <w:pStyle w:val="Odstavecseseznamem"/>
        <w:ind w:hanging="360"/>
        <w:rPr>
          <w:highlight w:val="yellow"/>
        </w:rPr>
      </w:pPr>
      <w:r>
        <w:rPr>
          <w:rFonts w:ascii="Symbol" w:hAnsi="Symbol"/>
          <w:highlight w:val="yellow"/>
        </w:rPr>
        <w:t></w:t>
      </w:r>
      <w:r>
        <w:rPr>
          <w:sz w:val="14"/>
          <w:szCs w:val="14"/>
          <w:highlight w:val="yellow"/>
        </w:rPr>
        <w:t xml:space="preserve">         </w:t>
      </w:r>
      <w:r>
        <w:rPr>
          <w:highlight w:val="yellow"/>
        </w:rPr>
        <w:t>odborné způsobilosti.</w:t>
      </w:r>
    </w:p>
    <w:p w14:paraId="0FB0977A" w14:textId="77777777" w:rsidR="00447AE9" w:rsidRDefault="00447AE9" w:rsidP="00447AE9">
      <w:pPr>
        <w:jc w:val="both"/>
        <w:rPr>
          <w:highlight w:val="yellow"/>
        </w:rPr>
      </w:pPr>
      <w:r>
        <w:rPr>
          <w:highlight w:val="yellow"/>
        </w:rPr>
        <w:t xml:space="preserve">To se změní </w:t>
      </w:r>
      <w:r>
        <w:rPr>
          <w:b/>
          <w:bCs/>
          <w:highlight w:val="yellow"/>
        </w:rPr>
        <w:t>od 21. května 2022*</w:t>
      </w:r>
      <w:r>
        <w:rPr>
          <w:highlight w:val="yellow"/>
        </w:rPr>
        <w:t xml:space="preserve">. Od tohoto data budou muset splňovat požadavky pro přístup k povolání podnikatele v silniční nákladní dopravě, </w:t>
      </w:r>
      <w:r>
        <w:rPr>
          <w:b/>
          <w:bCs/>
          <w:highlight w:val="yellow"/>
        </w:rPr>
        <w:t>pokud provozují s těmito vozidly mezinárodní přepravu</w:t>
      </w:r>
      <w:r>
        <w:rPr>
          <w:highlight w:val="yellow"/>
        </w:rPr>
        <w:t xml:space="preserve">. To znamená, že musí splnit podmínky týkající se požadavků: </w:t>
      </w:r>
    </w:p>
    <w:p w14:paraId="04AFCDA9" w14:textId="77777777" w:rsidR="00447AE9" w:rsidRDefault="00447AE9" w:rsidP="00447AE9">
      <w:pPr>
        <w:pStyle w:val="Odstavecseseznamem"/>
        <w:ind w:hanging="360"/>
        <w:jc w:val="both"/>
        <w:rPr>
          <w:highlight w:val="yellow"/>
        </w:rPr>
      </w:pPr>
      <w:r>
        <w:rPr>
          <w:highlight w:val="yellow"/>
        </w:rPr>
        <w:t>-</w:t>
      </w:r>
      <w:r>
        <w:rPr>
          <w:sz w:val="14"/>
          <w:szCs w:val="14"/>
          <w:highlight w:val="yellow"/>
        </w:rPr>
        <w:t>        </w:t>
      </w:r>
      <w:r>
        <w:rPr>
          <w:highlight w:val="yellow"/>
        </w:rPr>
        <w:t>usazení obsažené v článku 5. Jedná se nejen o prostory, podnikovou dokumentaci, ale i organizaci činnosti takovým způsobem, který zajistí, aby vozidla provozovaná v mezinárodní přepravě se vrátila do provozovny v daném členském státě nejpozději osm týdnů poté, co jej opustila;</w:t>
      </w:r>
    </w:p>
    <w:p w14:paraId="6771718F" w14:textId="77777777" w:rsidR="00447AE9" w:rsidRDefault="00447AE9" w:rsidP="00447AE9">
      <w:pPr>
        <w:pStyle w:val="Odstavecseseznamem"/>
        <w:ind w:hanging="360"/>
        <w:jc w:val="both"/>
        <w:rPr>
          <w:highlight w:val="yellow"/>
        </w:rPr>
      </w:pPr>
      <w:r>
        <w:rPr>
          <w:highlight w:val="yellow"/>
        </w:rPr>
        <w:t>-</w:t>
      </w:r>
      <w:r>
        <w:rPr>
          <w:sz w:val="14"/>
          <w:szCs w:val="14"/>
          <w:highlight w:val="yellow"/>
        </w:rPr>
        <w:t>        </w:t>
      </w:r>
      <w:r>
        <w:rPr>
          <w:highlight w:val="yellow"/>
        </w:rPr>
        <w:t>dobré pověsti, který určí ČR pro podnik a odpovědného zástupce pro dopravu;</w:t>
      </w:r>
    </w:p>
    <w:p w14:paraId="061E5863" w14:textId="77777777" w:rsidR="00447AE9" w:rsidRDefault="00447AE9" w:rsidP="00447AE9">
      <w:pPr>
        <w:pStyle w:val="Odstavecseseznamem"/>
        <w:ind w:hanging="360"/>
        <w:jc w:val="both"/>
        <w:rPr>
          <w:highlight w:val="yellow"/>
        </w:rPr>
      </w:pPr>
      <w:r>
        <w:rPr>
          <w:highlight w:val="yellow"/>
        </w:rPr>
        <w:t>-</w:t>
      </w:r>
      <w:r>
        <w:rPr>
          <w:sz w:val="14"/>
          <w:szCs w:val="14"/>
          <w:highlight w:val="yellow"/>
        </w:rPr>
        <w:t>        </w:t>
      </w:r>
      <w:r>
        <w:rPr>
          <w:highlight w:val="yellow"/>
        </w:rPr>
        <w:t>prokázat, že na každý rok disponuje kapitálem a rezervami ve výši nejméně 1 800 EUR na první používané vozidlo a 900 EUR na každé další používané vozidlo;</w:t>
      </w:r>
    </w:p>
    <w:p w14:paraId="553194D9" w14:textId="77777777" w:rsidR="00447AE9" w:rsidRDefault="00447AE9" w:rsidP="00447AE9">
      <w:pPr>
        <w:pStyle w:val="Odstavecseseznamem"/>
        <w:ind w:hanging="360"/>
        <w:jc w:val="both"/>
        <w:rPr>
          <w:highlight w:val="yellow"/>
        </w:rPr>
      </w:pPr>
      <w:r>
        <w:rPr>
          <w:highlight w:val="yellow"/>
        </w:rPr>
        <w:t>-</w:t>
      </w:r>
      <w:r>
        <w:rPr>
          <w:sz w:val="14"/>
          <w:szCs w:val="14"/>
          <w:highlight w:val="yellow"/>
        </w:rPr>
        <w:t>        </w:t>
      </w:r>
      <w:r>
        <w:rPr>
          <w:highlight w:val="yellow"/>
        </w:rPr>
        <w:t>odborné způsobilosti, která se prokazuje složením povinné písemné zkoušky.</w:t>
      </w:r>
    </w:p>
    <w:p w14:paraId="6A281C3A" w14:textId="77777777" w:rsidR="00447AE9" w:rsidRDefault="00447AE9" w:rsidP="00447AE9">
      <w:pPr>
        <w:jc w:val="both"/>
        <w:rPr>
          <w:highlight w:val="yellow"/>
        </w:rPr>
      </w:pPr>
      <w:r>
        <w:rPr>
          <w:highlight w:val="yellow"/>
        </w:rPr>
        <w:t xml:space="preserve">Nejpozději </w:t>
      </w:r>
      <w:r>
        <w:rPr>
          <w:b/>
          <w:bCs/>
          <w:highlight w:val="yellow"/>
        </w:rPr>
        <w:t>od 21. května 2022</w:t>
      </w:r>
      <w:r>
        <w:rPr>
          <w:highlight w:val="yellow"/>
        </w:rPr>
        <w:t xml:space="preserve"> musí výše uvedený dopravce provozovat mezinárodní silniční nákladní přepravu pro cizí potřebu na základě licence Společenství a osvědčení řidiče, pokud je řidič státním příslušníkem třetí země. Podmínky pro získání licence stanoví ČR v zákoně o silniční dopravě. Jako držitel licence Společenství je oprávněn provozovat kabotáž za podmínek stanovených nařízením (ES) č. 1072/2009 ve znění nařízení (EU) č. 2020/1055.</w:t>
      </w:r>
    </w:p>
    <w:p w14:paraId="1FCFBD48" w14:textId="77777777" w:rsidR="00447AE9" w:rsidRDefault="00447AE9" w:rsidP="00447AE9">
      <w:pPr>
        <w:jc w:val="both"/>
        <w:rPr>
          <w:highlight w:val="yellow"/>
        </w:rPr>
      </w:pPr>
      <w:r>
        <w:rPr>
          <w:highlight w:val="yellow"/>
        </w:rPr>
        <w:t xml:space="preserve">Nejpozději </w:t>
      </w:r>
      <w:r>
        <w:rPr>
          <w:b/>
          <w:bCs/>
          <w:highlight w:val="yellow"/>
        </w:rPr>
        <w:t>od 1. července 2026</w:t>
      </w:r>
      <w:r>
        <w:rPr>
          <w:highlight w:val="yellow"/>
        </w:rPr>
        <w:t xml:space="preserve"> musí být ve vozidlech tachograf, pokud jsou používána pro silniční přepravu zboží a vztahuje se na ně nově nařízení (ES) č. 561/2006 (motorová vozidla nebo jízdní soupravy, jejichž přípustná hmotnost naloženého vozidla nebo soupravy přesahuje 2,5 tuny, ale nepřesáhne 3,5 tuny). Komise do 21. února 2022 přijme prováděcí akty, kterými stanoví podrobná ustanovení pro instalaci tachografů do těchto vozidel. Současně musí dopravci a řidiči od tohoto termínu dodržovat v mezinárodní silniční dopravě doby řízení, bezpečnostní přestávky a doby odpočinku stanovené v nařízení (ES) č. 561/2006.</w:t>
      </w:r>
    </w:p>
    <w:p w14:paraId="7F9D2F52" w14:textId="77777777" w:rsidR="00A33DE9" w:rsidRDefault="00A33DE9" w:rsidP="00447AE9">
      <w:pPr>
        <w:jc w:val="both"/>
        <w:rPr>
          <w:highlight w:val="yellow"/>
        </w:rPr>
      </w:pPr>
    </w:p>
    <w:p w14:paraId="4C2D5785" w14:textId="77777777" w:rsidR="00447AE9" w:rsidRDefault="00447AE9" w:rsidP="00447AE9">
      <w:pPr>
        <w:jc w:val="both"/>
        <w:rPr>
          <w:highlight w:val="yellow"/>
        </w:rPr>
      </w:pPr>
      <w:r>
        <w:rPr>
          <w:highlight w:val="yellow"/>
        </w:rPr>
        <w:lastRenderedPageBreak/>
        <w:t xml:space="preserve">II. Dopravci, kteří </w:t>
      </w:r>
      <w:r>
        <w:rPr>
          <w:b/>
          <w:bCs/>
          <w:highlight w:val="yellow"/>
        </w:rPr>
        <w:t>podnikají v silniční nákladní dopravě s motorovými vozidly nebo jízdními soupravami, jejichž přípustná hmotnost naloženého vozidla nebo soupravy překračuje 3,5 tuny, ale i s motorovými vozidly nebo jízdními soupravami, jejichž přípustná hmotnost   naloženého vozidla nebo soupravy překračuje 2,5 tuny, ale nepřekračuje 3,5 tuny</w:t>
      </w:r>
      <w:r>
        <w:rPr>
          <w:highlight w:val="yellow"/>
        </w:rPr>
        <w:t xml:space="preserve"> (malá vozidla podle zákona č. 111/1994 Sb. §2 odstavec (16) musí </w:t>
      </w:r>
    </w:p>
    <w:p w14:paraId="0283778A" w14:textId="77777777" w:rsidR="00447AE9" w:rsidRDefault="00447AE9" w:rsidP="00447AE9">
      <w:pPr>
        <w:pStyle w:val="Odstavecseseznamem"/>
        <w:ind w:hanging="360"/>
        <w:jc w:val="both"/>
        <w:rPr>
          <w:highlight w:val="yellow"/>
        </w:rPr>
      </w:pPr>
      <w:r>
        <w:rPr>
          <w:highlight w:val="yellow"/>
        </w:rPr>
        <w:t>-</w:t>
      </w:r>
      <w:r>
        <w:rPr>
          <w:sz w:val="14"/>
          <w:szCs w:val="14"/>
          <w:highlight w:val="yellow"/>
        </w:rPr>
        <w:t>        </w:t>
      </w:r>
      <w:r>
        <w:rPr>
          <w:b/>
          <w:bCs/>
          <w:highlight w:val="yellow"/>
        </w:rPr>
        <w:t>od 21. února 2022</w:t>
      </w:r>
      <w:r>
        <w:rPr>
          <w:highlight w:val="yellow"/>
        </w:rPr>
        <w:t xml:space="preserve"> prokázat na každé toto vozidlo (malá vozidla) podle nařízení (ES) č. 1071/2009 ve znění nařízení (EU) č. 2020/1055 finanční způsobilost </w:t>
      </w:r>
      <w:r>
        <w:rPr>
          <w:b/>
          <w:bCs/>
          <w:highlight w:val="yellow"/>
        </w:rPr>
        <w:t>ve výši 900 EUR;</w:t>
      </w:r>
      <w:r>
        <w:rPr>
          <w:highlight w:val="yellow"/>
        </w:rPr>
        <w:t xml:space="preserve">  </w:t>
      </w:r>
    </w:p>
    <w:p w14:paraId="088DA408" w14:textId="77777777" w:rsidR="00447AE9" w:rsidRDefault="00447AE9" w:rsidP="00447AE9">
      <w:pPr>
        <w:pStyle w:val="Odstavecseseznamem"/>
        <w:ind w:hanging="360"/>
        <w:jc w:val="both"/>
        <w:rPr>
          <w:b/>
          <w:bCs/>
          <w:highlight w:val="yellow"/>
        </w:rPr>
      </w:pPr>
      <w:r>
        <w:rPr>
          <w:highlight w:val="yellow"/>
        </w:rPr>
        <w:t>-</w:t>
      </w:r>
      <w:r>
        <w:rPr>
          <w:sz w:val="14"/>
          <w:szCs w:val="14"/>
          <w:highlight w:val="yellow"/>
        </w:rPr>
        <w:t>        </w:t>
      </w:r>
      <w:r>
        <w:rPr>
          <w:b/>
          <w:bCs/>
          <w:highlight w:val="yellow"/>
        </w:rPr>
        <w:t xml:space="preserve">od 21. května 2022 </w:t>
      </w:r>
      <w:r>
        <w:rPr>
          <w:highlight w:val="yellow"/>
        </w:rPr>
        <w:t>mít v těchto motorových vozidlech nebo jízdních soupravách</w:t>
      </w:r>
      <w:r w:rsidR="00BC56DA">
        <w:rPr>
          <w:highlight w:val="yellow"/>
        </w:rPr>
        <w:t>,</w:t>
      </w:r>
      <w:r>
        <w:rPr>
          <w:highlight w:val="yellow"/>
        </w:rPr>
        <w:t xml:space="preserve"> s kterými provozují mezinárodní silniční dopravu licenci Společenství;</w:t>
      </w:r>
    </w:p>
    <w:p w14:paraId="3CDA718B" w14:textId="77777777" w:rsidR="00447AE9" w:rsidRDefault="00447AE9" w:rsidP="00447AE9">
      <w:pPr>
        <w:pStyle w:val="Odstavecseseznamem"/>
        <w:ind w:hanging="360"/>
        <w:jc w:val="both"/>
        <w:rPr>
          <w:highlight w:val="yellow"/>
        </w:rPr>
      </w:pPr>
      <w:r>
        <w:rPr>
          <w:highlight w:val="yellow"/>
        </w:rPr>
        <w:t>-</w:t>
      </w:r>
      <w:r>
        <w:rPr>
          <w:sz w:val="14"/>
          <w:szCs w:val="14"/>
          <w:highlight w:val="yellow"/>
        </w:rPr>
        <w:t>        </w:t>
      </w:r>
      <w:r>
        <w:rPr>
          <w:b/>
          <w:bCs/>
          <w:highlight w:val="yellow"/>
        </w:rPr>
        <w:t>od 1. července 2026</w:t>
      </w:r>
      <w:r>
        <w:rPr>
          <w:highlight w:val="yellow"/>
        </w:rPr>
        <w:t xml:space="preserve"> při přepravě zboží v mezinárodní dopravě nebo kabotáži vozidly, jejichž maximální přípustná hmotnost včetně návěsu nebo přívěsu překračuje 2,5 tuny </w:t>
      </w:r>
      <w:r>
        <w:rPr>
          <w:b/>
          <w:bCs/>
          <w:highlight w:val="yellow"/>
        </w:rPr>
        <w:t>dodržovat nařízení (ES) č. 561/2006**</w:t>
      </w:r>
      <w:r>
        <w:rPr>
          <w:highlight w:val="yellow"/>
        </w:rPr>
        <w:t xml:space="preserve"> o harmonizaci některých předpisů v sociální oblasti týkajících se silniční dopravy. V těchto vozidlech musí být také </w:t>
      </w:r>
      <w:r>
        <w:rPr>
          <w:b/>
          <w:bCs/>
          <w:highlight w:val="yellow"/>
        </w:rPr>
        <w:t>instalovány a používány tachografy</w:t>
      </w:r>
      <w:r>
        <w:rPr>
          <w:highlight w:val="yellow"/>
        </w:rPr>
        <w:t xml:space="preserve"> podle nařízení (EU) č. 165/2014.  </w:t>
      </w:r>
      <w:r>
        <w:rPr>
          <w:b/>
          <w:bCs/>
          <w:highlight w:val="yellow"/>
        </w:rPr>
        <w:t>Komise do 21. února 2022 přijme prováděcí akty, kterými stanoví podrobná ustanovení pro instalaci tachografů.</w:t>
      </w:r>
    </w:p>
    <w:p w14:paraId="2342B988" w14:textId="77777777" w:rsidR="00447AE9" w:rsidRDefault="00447AE9" w:rsidP="00447AE9">
      <w:pPr>
        <w:rPr>
          <w:highlight w:val="yellow"/>
        </w:rPr>
      </w:pPr>
      <w:r>
        <w:rPr>
          <w:b/>
          <w:bCs/>
          <w:highlight w:val="yellow"/>
        </w:rPr>
        <w:t>Shrnutí</w:t>
      </w:r>
      <w:r>
        <w:rPr>
          <w:highlight w:val="yellow"/>
        </w:rPr>
        <w:t>:</w:t>
      </w:r>
    </w:p>
    <w:p w14:paraId="51D44B01" w14:textId="77777777" w:rsidR="00447AE9" w:rsidRDefault="00447AE9" w:rsidP="00447AE9">
      <w:pPr>
        <w:jc w:val="both"/>
        <w:rPr>
          <w:b/>
          <w:bCs/>
          <w:highlight w:val="yellow"/>
        </w:rPr>
      </w:pPr>
      <w:r>
        <w:rPr>
          <w:highlight w:val="yellow"/>
        </w:rPr>
        <w:t>Informace o změnách vyvolaných výše uvedenými nařízeními EU se zejména dotýkají dopravců provozujících silniční nákladní dopravu motorovými vozidly, jejichž celková hmotnost je v rozmezí 2,5 až 3,5 tuny a provozují s těmito vozidly mezinárodní silniční nákladní přepravu. Uvedli jsme v časové posloupnosti požadavky obsažené v uvedených nařízeních, aby se s nimi mohli dopravci podrobně a v předstihu seznámit. Současně doporučujeme sledovat národní předpisy, které na tyto změny budou muset následně reagovat. Jedná se zejména o zákon č. 111/1994 Sb. o silniční dopravě.</w:t>
      </w:r>
    </w:p>
    <w:p w14:paraId="584E52D5" w14:textId="77777777" w:rsidR="00447AE9" w:rsidRDefault="00447AE9" w:rsidP="00447AE9">
      <w:pPr>
        <w:jc w:val="both"/>
        <w:rPr>
          <w:highlight w:val="yellow"/>
        </w:rPr>
      </w:pPr>
    </w:p>
    <w:p w14:paraId="4FCC9DAE" w14:textId="77777777" w:rsidR="00447AE9" w:rsidRDefault="00447AE9" w:rsidP="00447AE9">
      <w:pPr>
        <w:rPr>
          <w:b/>
          <w:bCs/>
          <w:highlight w:val="yellow"/>
        </w:rPr>
      </w:pPr>
      <w:r>
        <w:rPr>
          <w:b/>
          <w:bCs/>
          <w:highlight w:val="yellow"/>
        </w:rPr>
        <w:t xml:space="preserve">Vysvětlivky: </w:t>
      </w:r>
    </w:p>
    <w:p w14:paraId="77C9F00D" w14:textId="77777777" w:rsidR="00447AE9" w:rsidRDefault="00447AE9" w:rsidP="00DB4FC1">
      <w:pPr>
        <w:jc w:val="both"/>
        <w:rPr>
          <w:highlight w:val="yellow"/>
        </w:rPr>
      </w:pPr>
      <w:r>
        <w:rPr>
          <w:highlight w:val="yellow"/>
        </w:rPr>
        <w:t>*   Původní termín 21. února 2022 byl aktualizovaným článkem 23 nařízení (ES) č. 1071/2009 posunut na 21. května 2022.</w:t>
      </w:r>
    </w:p>
    <w:p w14:paraId="190B2CBE" w14:textId="77777777" w:rsidR="00447AE9" w:rsidRDefault="00447AE9" w:rsidP="00DB4FC1">
      <w:pPr>
        <w:jc w:val="both"/>
      </w:pPr>
      <w:r>
        <w:rPr>
          <w:highlight w:val="yellow"/>
        </w:rPr>
        <w:t>** Nařízení se nevztahuje na silniční dopravu vozidly o maximální přípustné hmotnosti přesahující 2,5 tuny, nikoli však 3,5 tuny, včetně návěsu nebo přívěsu používanými pro přepravu zboží, pokud se přeprava neuskutečňuje na cizí účet nebo za úplatu, ale na vlastní účet společnosti nebo řidiče, a pokud řízení vozidla nepředstavuje řidičovu hlavní činnost.</w:t>
      </w:r>
    </w:p>
    <w:p w14:paraId="5CC03EFA" w14:textId="77777777" w:rsidR="00447AE9" w:rsidRDefault="00447AE9" w:rsidP="00447AE9">
      <w:pPr>
        <w:rPr>
          <w:b/>
          <w:bCs/>
          <w:sz w:val="32"/>
          <w:szCs w:val="32"/>
          <w:u w:val="single"/>
        </w:rPr>
      </w:pPr>
    </w:p>
    <w:p w14:paraId="563CE160" w14:textId="77777777" w:rsidR="00447AE9" w:rsidRDefault="00447AE9" w:rsidP="00447AE9">
      <w:pPr>
        <w:jc w:val="both"/>
        <w:rPr>
          <w:sz w:val="32"/>
          <w:szCs w:val="32"/>
        </w:rPr>
      </w:pPr>
      <w:r>
        <w:rPr>
          <w:b/>
          <w:bCs/>
          <w:sz w:val="32"/>
          <w:szCs w:val="32"/>
          <w:u w:val="single"/>
        </w:rPr>
        <w:t>Kdo bude prokazovat finanční způsobilosti:</w:t>
      </w:r>
    </w:p>
    <w:p w14:paraId="789EF092" w14:textId="77777777" w:rsidR="00447AE9" w:rsidRDefault="00447AE9" w:rsidP="00447AE9">
      <w:pPr>
        <w:jc w:val="both"/>
      </w:pPr>
      <w:r>
        <w:t>Trvání finanční způsobilosti prokazuje podnikatel v silniční dopravě provozované velkými vozidly dopravnímu úřadu na každý kalendářní rok nejpozději do 31. července tohoto roku.</w:t>
      </w:r>
    </w:p>
    <w:p w14:paraId="048002EF" w14:textId="77777777" w:rsidR="00447AE9" w:rsidRDefault="00447AE9" w:rsidP="00447AE9">
      <w:pPr>
        <w:jc w:val="both"/>
        <w:rPr>
          <w:rFonts w:ascii="Calibri" w:hAnsi="Calibri" w:cs="Calibri"/>
          <w:sz w:val="22"/>
          <w:szCs w:val="22"/>
        </w:rPr>
      </w:pPr>
    </w:p>
    <w:p w14:paraId="3DFD41E6" w14:textId="77777777" w:rsidR="00447AE9" w:rsidRDefault="00447AE9" w:rsidP="00447AE9">
      <w:pPr>
        <w:jc w:val="both"/>
        <w:rPr>
          <w:rFonts w:ascii="Calibri" w:hAnsi="Calibri" w:cs="Calibri"/>
          <w:sz w:val="22"/>
          <w:szCs w:val="22"/>
        </w:rPr>
      </w:pPr>
      <w:r>
        <w:rPr>
          <w:b/>
          <w:bCs/>
          <w:sz w:val="40"/>
          <w:szCs w:val="40"/>
        </w:rPr>
        <w:t xml:space="preserve">V žádosti o Finanční způsobilost řaďte vozidla dle SPZ </w:t>
      </w:r>
      <w:proofErr w:type="gramStart"/>
      <w:r>
        <w:rPr>
          <w:b/>
          <w:bCs/>
          <w:sz w:val="40"/>
          <w:szCs w:val="40"/>
        </w:rPr>
        <w:t>vzestupně !!!</w:t>
      </w:r>
      <w:proofErr w:type="gramEnd"/>
    </w:p>
    <w:p w14:paraId="37D5DB70" w14:textId="77777777" w:rsidR="00447AE9" w:rsidRDefault="00447AE9" w:rsidP="00447AE9">
      <w:pPr>
        <w:jc w:val="both"/>
        <w:rPr>
          <w:rFonts w:ascii="Calibri" w:hAnsi="Calibri" w:cs="Calibri"/>
          <w:sz w:val="22"/>
          <w:szCs w:val="22"/>
        </w:rPr>
      </w:pPr>
    </w:p>
    <w:p w14:paraId="22502B16" w14:textId="77777777" w:rsidR="00447AE9" w:rsidRDefault="00447AE9" w:rsidP="00447AE9">
      <w:pPr>
        <w:jc w:val="both"/>
      </w:pPr>
      <w:r>
        <w:rPr>
          <w:b/>
          <w:bCs/>
          <w:u w:val="single"/>
        </w:rPr>
        <w:t>1. Kdo nemá ještě IČ nebo dostal IČ</w:t>
      </w:r>
      <w:r w:rsidR="00DB4FC1">
        <w:rPr>
          <w:b/>
          <w:bCs/>
          <w:u w:val="single"/>
        </w:rPr>
        <w:t xml:space="preserve"> v</w:t>
      </w:r>
      <w:r>
        <w:rPr>
          <w:b/>
          <w:bCs/>
          <w:u w:val="single"/>
        </w:rPr>
        <w:t xml:space="preserve"> tomto kalendářním roce nebo měl přerušeno</w:t>
      </w:r>
      <w:r>
        <w:t xml:space="preserve"> (tj. nepodával za poslední uzavřené účetní období daňové přiznání) – zašlete poštou (v obálce) nebo datovou zprávou:</w:t>
      </w:r>
    </w:p>
    <w:p w14:paraId="7891A4D5" w14:textId="77777777" w:rsidR="00447AE9" w:rsidRDefault="00447AE9" w:rsidP="00447AE9">
      <w:pPr>
        <w:jc w:val="both"/>
      </w:pPr>
      <w:r>
        <w:rPr>
          <w:b/>
          <w:bCs/>
        </w:rPr>
        <w:t>Formulář k Finanční</w:t>
      </w:r>
      <w:r w:rsidR="00DB4FC1">
        <w:rPr>
          <w:b/>
          <w:bCs/>
        </w:rPr>
        <w:t xml:space="preserve"> způsobilosti (s vyplněným dat</w:t>
      </w:r>
      <w:r>
        <w:rPr>
          <w:b/>
          <w:bCs/>
        </w:rPr>
        <w:t>em + podpis a razítko)</w:t>
      </w:r>
      <w:r>
        <w:t xml:space="preserve"> + </w:t>
      </w:r>
      <w:r>
        <w:rPr>
          <w:b/>
          <w:bCs/>
        </w:rPr>
        <w:t xml:space="preserve">zahajovací rozvahu </w:t>
      </w:r>
      <w:r>
        <w:t xml:space="preserve">nebo </w:t>
      </w:r>
      <w:r>
        <w:rPr>
          <w:b/>
          <w:bCs/>
        </w:rPr>
        <w:t>zahajovací doklad</w:t>
      </w:r>
    </w:p>
    <w:p w14:paraId="066D8847" w14:textId="77777777" w:rsidR="00447AE9" w:rsidRDefault="00447AE9" w:rsidP="00447AE9">
      <w:pPr>
        <w:jc w:val="both"/>
      </w:pPr>
      <w:r>
        <w:rPr>
          <w:b/>
          <w:bCs/>
          <w:u w:val="single"/>
        </w:rPr>
        <w:t>2. Kdo už vede účetnictví nebo daňovou evidenci tak:</w:t>
      </w:r>
    </w:p>
    <w:p w14:paraId="3311B9E0" w14:textId="77777777" w:rsidR="00447AE9" w:rsidRDefault="00447AE9" w:rsidP="00A33DE9">
      <w:pPr>
        <w:pStyle w:val="Odstavecseseznamem"/>
        <w:numPr>
          <w:ilvl w:val="0"/>
          <w:numId w:val="7"/>
        </w:numPr>
        <w:ind w:left="284" w:hanging="284"/>
        <w:jc w:val="both"/>
      </w:pPr>
      <w:r w:rsidRPr="00A33DE9">
        <w:rPr>
          <w:u w:val="single"/>
        </w:rPr>
        <w:lastRenderedPageBreak/>
        <w:t>pokud vedete daňovou evidenci (jednoduché účetnictví) resp. účetnictví (podvojné účetnictví)</w:t>
      </w:r>
      <w:r>
        <w:t xml:space="preserve"> – zašlete poštou (v obálce) nebo datovou zprávou</w:t>
      </w:r>
    </w:p>
    <w:p w14:paraId="4A14950D" w14:textId="77777777" w:rsidR="00447AE9" w:rsidRDefault="00447AE9" w:rsidP="00BC56DA">
      <w:pPr>
        <w:ind w:left="284"/>
        <w:jc w:val="both"/>
      </w:pPr>
      <w:r>
        <w:rPr>
          <w:b/>
          <w:bCs/>
        </w:rPr>
        <w:t>Žádost o Finanční způsobilost (s vyplněným datem + podpis a razítko)</w:t>
      </w:r>
      <w:r>
        <w:t xml:space="preserve"> + </w:t>
      </w:r>
      <w:r>
        <w:rPr>
          <w:b/>
          <w:bCs/>
        </w:rPr>
        <w:t>Daňové přiznání za poslední zdaňovací období ke dni 31. 12. 2021</w:t>
      </w:r>
      <w:r>
        <w:t xml:space="preserve"> (</w:t>
      </w:r>
      <w:r>
        <w:rPr>
          <w:b/>
          <w:bCs/>
        </w:rPr>
        <w:t>jednoduché účetnictví</w:t>
      </w:r>
      <w:r>
        <w:t xml:space="preserve">), resp. </w:t>
      </w:r>
      <w:r>
        <w:rPr>
          <w:b/>
          <w:bCs/>
        </w:rPr>
        <w:t>Daňové přiznání za poslední zdaňovací období ke dni 31. 12. 2021</w:t>
      </w:r>
      <w:r>
        <w:t xml:space="preserve"> s </w:t>
      </w:r>
      <w:r>
        <w:rPr>
          <w:b/>
          <w:bCs/>
        </w:rPr>
        <w:t xml:space="preserve">Rozvahou </w:t>
      </w:r>
      <w:r>
        <w:t>(</w:t>
      </w:r>
      <w:r>
        <w:rPr>
          <w:b/>
          <w:bCs/>
        </w:rPr>
        <w:t>podvojné účetnictví</w:t>
      </w:r>
      <w:r>
        <w:t>)</w:t>
      </w:r>
      <w:r>
        <w:rPr>
          <w:b/>
          <w:bCs/>
        </w:rPr>
        <w:t>, které ověřil:</w:t>
      </w:r>
    </w:p>
    <w:p w14:paraId="12A6E2ED" w14:textId="77777777" w:rsidR="00DB4FC1" w:rsidRDefault="00447AE9" w:rsidP="00BC56DA">
      <w:pPr>
        <w:pStyle w:val="Odstavecseseznamem"/>
        <w:numPr>
          <w:ilvl w:val="0"/>
          <w:numId w:val="4"/>
        </w:numPr>
        <w:autoSpaceDE w:val="0"/>
        <w:autoSpaceDN w:val="0"/>
        <w:ind w:left="709" w:hanging="283"/>
        <w:jc w:val="both"/>
      </w:pPr>
      <w:r w:rsidRPr="00DB4FC1">
        <w:rPr>
          <w:b/>
          <w:bCs/>
        </w:rPr>
        <w:t xml:space="preserve">finanční úřad </w:t>
      </w:r>
      <w:r>
        <w:t>(razítko podání do podatelny nebo doklad o podání datovou zprávou nebo</w:t>
      </w:r>
      <w:r w:rsidRPr="00DB4FC1">
        <w:rPr>
          <w:rFonts w:ascii="TimesNewRomanPS-BoldMT" w:hAnsi="TimesNewRomanPS-BoldMT"/>
        </w:rPr>
        <w:t xml:space="preserve"> ověřovací doložkou příslušného správce daně ve smyslu ustanovení § 67 odst. 4 zákona č. 280/2009 Sb.</w:t>
      </w:r>
      <w:r>
        <w:t>),</w:t>
      </w:r>
    </w:p>
    <w:p w14:paraId="275C515A" w14:textId="77777777" w:rsidR="00DB4FC1" w:rsidRPr="00DB4FC1" w:rsidRDefault="00447AE9" w:rsidP="00BC56DA">
      <w:pPr>
        <w:pStyle w:val="Odstavecseseznamem"/>
        <w:numPr>
          <w:ilvl w:val="0"/>
          <w:numId w:val="4"/>
        </w:numPr>
        <w:autoSpaceDE w:val="0"/>
        <w:autoSpaceDN w:val="0"/>
        <w:ind w:left="709" w:hanging="283"/>
        <w:jc w:val="both"/>
      </w:pPr>
      <w:r>
        <w:t xml:space="preserve">nebo </w:t>
      </w:r>
      <w:r w:rsidRPr="00DB4FC1">
        <w:rPr>
          <w:b/>
          <w:bCs/>
        </w:rPr>
        <w:t>AUDITOR (</w:t>
      </w:r>
      <w:r>
        <w:t>pod tabulkou</w:t>
      </w:r>
      <w:r w:rsidRPr="00DB4FC1">
        <w:rPr>
          <w:b/>
          <w:bCs/>
        </w:rPr>
        <w:t xml:space="preserve"> </w:t>
      </w:r>
      <w:r>
        <w:t xml:space="preserve">daňové </w:t>
      </w:r>
      <w:proofErr w:type="gramStart"/>
      <w:r>
        <w:t>evidence</w:t>
      </w:r>
      <w:proofErr w:type="gramEnd"/>
      <w:r>
        <w:t xml:space="preserve"> resp. rozvahy </w:t>
      </w:r>
      <w:r w:rsidRPr="00DB4FC1">
        <w:rPr>
          <w:b/>
          <w:bCs/>
        </w:rPr>
        <w:t>napsat „ověřil(a): datum, příjmení auditora, podpis a razítko“</w:t>
      </w:r>
      <w:r>
        <w:t xml:space="preserve"> a nutno přiložit kopii </w:t>
      </w:r>
      <w:r w:rsidRPr="00DB4FC1">
        <w:rPr>
          <w:b/>
          <w:bCs/>
        </w:rPr>
        <w:t>osvědčení o zápisu auditora do seznamu auditorů</w:t>
      </w:r>
      <w:r>
        <w:t>)</w:t>
      </w:r>
      <w:r w:rsidRPr="00DB4FC1">
        <w:rPr>
          <w:b/>
          <w:bCs/>
        </w:rPr>
        <w:t>,</w:t>
      </w:r>
    </w:p>
    <w:p w14:paraId="1BA9A677" w14:textId="77777777" w:rsidR="00DB4FC1" w:rsidRPr="00DB4FC1" w:rsidRDefault="00447AE9" w:rsidP="00BC56DA">
      <w:pPr>
        <w:pStyle w:val="Odstavecseseznamem"/>
        <w:numPr>
          <w:ilvl w:val="0"/>
          <w:numId w:val="4"/>
        </w:numPr>
        <w:autoSpaceDE w:val="0"/>
        <w:autoSpaceDN w:val="0"/>
        <w:ind w:left="709" w:hanging="283"/>
        <w:jc w:val="both"/>
      </w:pPr>
      <w:r>
        <w:t xml:space="preserve">nebo </w:t>
      </w:r>
      <w:r w:rsidRPr="00DB4FC1">
        <w:rPr>
          <w:b/>
          <w:bCs/>
        </w:rPr>
        <w:t>DAŇOVÝ PORADCE (</w:t>
      </w:r>
      <w:r>
        <w:t>pod tabulkou</w:t>
      </w:r>
      <w:r w:rsidRPr="00DB4FC1">
        <w:rPr>
          <w:b/>
          <w:bCs/>
        </w:rPr>
        <w:t xml:space="preserve"> </w:t>
      </w:r>
      <w:r>
        <w:t xml:space="preserve">daňové </w:t>
      </w:r>
      <w:proofErr w:type="gramStart"/>
      <w:r>
        <w:t>evidence</w:t>
      </w:r>
      <w:proofErr w:type="gramEnd"/>
      <w:r>
        <w:t xml:space="preserve"> resp. rozvahy </w:t>
      </w:r>
      <w:r w:rsidRPr="00DB4FC1">
        <w:rPr>
          <w:b/>
          <w:bCs/>
        </w:rPr>
        <w:t>napsat „ověřil(a): datum, příjmení daňového poradce, podpis a razítko“</w:t>
      </w:r>
      <w:r>
        <w:t xml:space="preserve"> a nutno přiložit kopii </w:t>
      </w:r>
      <w:r w:rsidRPr="00DB4FC1">
        <w:rPr>
          <w:b/>
          <w:bCs/>
        </w:rPr>
        <w:t>osvědčení o zápisu nebo o registraci v seznamu daňových poradců</w:t>
      </w:r>
      <w:r>
        <w:t>)</w:t>
      </w:r>
      <w:r w:rsidRPr="00DB4FC1">
        <w:rPr>
          <w:b/>
          <w:bCs/>
        </w:rPr>
        <w:t>,</w:t>
      </w:r>
    </w:p>
    <w:p w14:paraId="5663E29E" w14:textId="77777777" w:rsidR="00447AE9" w:rsidRDefault="00447AE9" w:rsidP="00BC56DA">
      <w:pPr>
        <w:pStyle w:val="Odstavecseseznamem"/>
        <w:numPr>
          <w:ilvl w:val="0"/>
          <w:numId w:val="4"/>
        </w:numPr>
        <w:autoSpaceDE w:val="0"/>
        <w:autoSpaceDN w:val="0"/>
        <w:ind w:left="709" w:hanging="283"/>
        <w:jc w:val="both"/>
      </w:pPr>
      <w:r>
        <w:t xml:space="preserve">nebo </w:t>
      </w:r>
      <w:r w:rsidRPr="00DB4FC1">
        <w:rPr>
          <w:b/>
          <w:bCs/>
        </w:rPr>
        <w:t>ÚČETNÍ PORADCE (</w:t>
      </w:r>
      <w:r>
        <w:t>pod tabulkou</w:t>
      </w:r>
      <w:r w:rsidRPr="00DB4FC1">
        <w:rPr>
          <w:b/>
          <w:bCs/>
        </w:rPr>
        <w:t xml:space="preserve"> </w:t>
      </w:r>
      <w:r>
        <w:t xml:space="preserve">daňové </w:t>
      </w:r>
      <w:proofErr w:type="gramStart"/>
      <w:r>
        <w:t>evidence</w:t>
      </w:r>
      <w:proofErr w:type="gramEnd"/>
      <w:r>
        <w:t xml:space="preserve"> resp. rozvahy </w:t>
      </w:r>
      <w:r w:rsidRPr="00DB4FC1">
        <w:rPr>
          <w:b/>
          <w:bCs/>
        </w:rPr>
        <w:t>napsat „ověřil(a): datum, příjmení účetního poradce, podpis a razítko“</w:t>
      </w:r>
      <w:r>
        <w:t xml:space="preserve"> a nutno přiložit kopii </w:t>
      </w:r>
      <w:r w:rsidRPr="00DB4FC1">
        <w:rPr>
          <w:b/>
          <w:bCs/>
        </w:rPr>
        <w:t>výpisu z živnostenského rejstříku o oprávnění vykonávat činnost účetních poradců, vedení účetnictví a vedení daňové evidence</w:t>
      </w:r>
      <w:r>
        <w:t>)</w:t>
      </w:r>
    </w:p>
    <w:p w14:paraId="50F9BADD" w14:textId="77777777" w:rsidR="00447AE9" w:rsidRDefault="00447AE9" w:rsidP="00447AE9">
      <w:pPr>
        <w:jc w:val="both"/>
        <w:rPr>
          <w:u w:val="single"/>
        </w:rPr>
      </w:pPr>
      <w:r>
        <w:rPr>
          <w:u w:val="single"/>
        </w:rPr>
        <w:t>Daňový popř. účetní poradce může být interní nebo externí pracovník.</w:t>
      </w:r>
    </w:p>
    <w:p w14:paraId="1782869B" w14:textId="77777777" w:rsidR="00447AE9" w:rsidRDefault="00447AE9" w:rsidP="00447AE9">
      <w:pPr>
        <w:jc w:val="both"/>
      </w:pPr>
      <w:r>
        <w:t>Z tabulky „D. Tabulka pro poplatníky, kteří vedou daňovou evidenci“ se finanční způsobilost počítá:</w:t>
      </w:r>
    </w:p>
    <w:tbl>
      <w:tblPr>
        <w:tblpPr w:leftFromText="141" w:rightFromText="141" w:vertAnchor="text"/>
        <w:tblW w:w="0" w:type="auto"/>
        <w:tblCellMar>
          <w:left w:w="0" w:type="dxa"/>
          <w:right w:w="0" w:type="dxa"/>
        </w:tblCellMar>
        <w:tblLook w:val="04A0" w:firstRow="1" w:lastRow="0" w:firstColumn="1" w:lastColumn="0" w:noHBand="0" w:noVBand="1"/>
      </w:tblPr>
      <w:tblGrid>
        <w:gridCol w:w="4890"/>
        <w:gridCol w:w="2977"/>
      </w:tblGrid>
      <w:tr w:rsidR="00447AE9" w14:paraId="050034B3" w14:textId="77777777" w:rsidTr="00447AE9">
        <w:tc>
          <w:tcPr>
            <w:tcW w:w="48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572A561" w14:textId="77777777" w:rsidR="00447AE9" w:rsidRDefault="00447AE9">
            <w:pPr>
              <w:pStyle w:val="Nadpis9"/>
              <w:jc w:val="center"/>
              <w:rPr>
                <w:rFonts w:ascii="Times New Roman" w:hAnsi="Times New Roman" w:cs="Times New Roman"/>
                <w:b/>
                <w:bCs/>
                <w:sz w:val="24"/>
                <w:szCs w:val="24"/>
              </w:rPr>
            </w:pPr>
            <w:r>
              <w:rPr>
                <w:rFonts w:ascii="Times New Roman" w:hAnsi="Times New Roman" w:cs="Times New Roman"/>
                <w:b/>
                <w:bCs/>
                <w:sz w:val="24"/>
                <w:szCs w:val="24"/>
              </w:rPr>
              <w:t xml:space="preserve">Daňová evidence (Příloha č. </w:t>
            </w:r>
            <w:proofErr w:type="gramStart"/>
            <w:r>
              <w:rPr>
                <w:rFonts w:ascii="Times New Roman" w:hAnsi="Times New Roman" w:cs="Times New Roman"/>
                <w:b/>
                <w:bCs/>
                <w:sz w:val="24"/>
                <w:szCs w:val="24"/>
              </w:rPr>
              <w:t>1-tabulka</w:t>
            </w:r>
            <w:proofErr w:type="gramEnd"/>
            <w:r>
              <w:rPr>
                <w:rFonts w:ascii="Times New Roman" w:hAnsi="Times New Roman" w:cs="Times New Roman"/>
                <w:b/>
                <w:bCs/>
                <w:sz w:val="24"/>
                <w:szCs w:val="24"/>
              </w:rPr>
              <w:t xml:space="preserve"> D.)</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A3F2F24" w14:textId="77777777" w:rsidR="00447AE9" w:rsidRDefault="00447AE9">
            <w:pPr>
              <w:jc w:val="center"/>
              <w:rPr>
                <w:b/>
                <w:bCs/>
              </w:rPr>
            </w:pPr>
            <w:r>
              <w:rPr>
                <w:b/>
                <w:bCs/>
              </w:rPr>
              <w:t>Konec zdaňovacího období</w:t>
            </w:r>
          </w:p>
        </w:tc>
      </w:tr>
      <w:tr w:rsidR="00447AE9" w14:paraId="319D3E30" w14:textId="77777777" w:rsidTr="00447AE9">
        <w:tc>
          <w:tcPr>
            <w:tcW w:w="48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F2687A" w14:textId="77777777" w:rsidR="00447AE9" w:rsidRDefault="00447AE9">
            <w:r>
              <w:t>Hmotný majetek</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9F0C07" w14:textId="77777777" w:rsidR="00447AE9" w:rsidRDefault="00447AE9">
            <w:pPr>
              <w:jc w:val="both"/>
            </w:pPr>
            <w:r>
              <w:rPr>
                <w:b/>
                <w:bCs/>
              </w:rPr>
              <w:t>+</w:t>
            </w:r>
          </w:p>
        </w:tc>
      </w:tr>
      <w:tr w:rsidR="00447AE9" w14:paraId="40308C3C" w14:textId="77777777" w:rsidTr="00447AE9">
        <w:tc>
          <w:tcPr>
            <w:tcW w:w="48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678283" w14:textId="77777777" w:rsidR="00447AE9" w:rsidRDefault="00447AE9">
            <w:r>
              <w:t>Peněžní prostředky v hotovosti a ceniny</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06DBF1" w14:textId="77777777" w:rsidR="00447AE9" w:rsidRDefault="00447AE9">
            <w:pPr>
              <w:jc w:val="both"/>
            </w:pPr>
            <w:r>
              <w:rPr>
                <w:b/>
                <w:bCs/>
              </w:rPr>
              <w:t>+</w:t>
            </w:r>
          </w:p>
        </w:tc>
      </w:tr>
      <w:tr w:rsidR="00447AE9" w14:paraId="75CA6B5E" w14:textId="77777777" w:rsidTr="00447AE9">
        <w:tc>
          <w:tcPr>
            <w:tcW w:w="48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80B1EA" w14:textId="77777777" w:rsidR="00447AE9" w:rsidRDefault="00447AE9">
            <w:r>
              <w:t>Peněžní prostředky na bankovních účtech</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3628DC" w14:textId="77777777" w:rsidR="00447AE9" w:rsidRDefault="00447AE9">
            <w:pPr>
              <w:jc w:val="both"/>
            </w:pPr>
            <w:r>
              <w:rPr>
                <w:b/>
                <w:bCs/>
              </w:rPr>
              <w:t>+</w:t>
            </w:r>
          </w:p>
        </w:tc>
      </w:tr>
      <w:tr w:rsidR="00447AE9" w14:paraId="600AD401" w14:textId="77777777" w:rsidTr="00447AE9">
        <w:tc>
          <w:tcPr>
            <w:tcW w:w="48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85E11E" w14:textId="77777777" w:rsidR="00447AE9" w:rsidRDefault="00447AE9">
            <w:r>
              <w:t>Zásoby</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1A325C" w14:textId="77777777" w:rsidR="00447AE9" w:rsidRDefault="00447AE9">
            <w:pPr>
              <w:jc w:val="both"/>
              <w:rPr>
                <w:b/>
                <w:bCs/>
              </w:rPr>
            </w:pPr>
            <w:r>
              <w:rPr>
                <w:b/>
                <w:bCs/>
              </w:rPr>
              <w:t>+</w:t>
            </w:r>
          </w:p>
        </w:tc>
      </w:tr>
      <w:tr w:rsidR="00447AE9" w14:paraId="21CCC829" w14:textId="77777777" w:rsidTr="00447AE9">
        <w:tc>
          <w:tcPr>
            <w:tcW w:w="48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740960" w14:textId="77777777" w:rsidR="00447AE9" w:rsidRDefault="00447AE9">
            <w:r>
              <w:t>Pohledávky včetně poskytnutých úvěrů a půjček</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09867A3" w14:textId="77777777" w:rsidR="00447AE9" w:rsidRDefault="00447AE9">
            <w:pPr>
              <w:jc w:val="both"/>
            </w:pPr>
            <w:r>
              <w:rPr>
                <w:b/>
                <w:bCs/>
              </w:rPr>
              <w:t>+</w:t>
            </w:r>
          </w:p>
        </w:tc>
      </w:tr>
      <w:tr w:rsidR="00447AE9" w14:paraId="7D4EE578" w14:textId="77777777" w:rsidTr="00447AE9">
        <w:tc>
          <w:tcPr>
            <w:tcW w:w="48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278EC2" w14:textId="77777777" w:rsidR="00447AE9" w:rsidRDefault="00447AE9">
            <w:r>
              <w:t>Ostatní majetek</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9C755B" w14:textId="77777777" w:rsidR="00447AE9" w:rsidRDefault="00447AE9">
            <w:pPr>
              <w:rPr>
                <w:b/>
                <w:bCs/>
              </w:rPr>
            </w:pPr>
            <w:r>
              <w:rPr>
                <w:b/>
                <w:bCs/>
              </w:rPr>
              <w:t>+</w:t>
            </w:r>
          </w:p>
        </w:tc>
      </w:tr>
    </w:tbl>
    <w:p w14:paraId="56C61C63" w14:textId="77777777" w:rsidR="00447AE9" w:rsidRDefault="00447AE9" w:rsidP="00447AE9">
      <w:pPr>
        <w:ind w:left="378" w:hanging="140"/>
        <w:jc w:val="both"/>
      </w:pPr>
      <w:r>
        <w:t> </w:t>
      </w:r>
    </w:p>
    <w:p w14:paraId="093BDC1B" w14:textId="77777777" w:rsidR="00447AE9" w:rsidRDefault="00447AE9" w:rsidP="00447AE9">
      <w:pPr>
        <w:ind w:left="378" w:hanging="140"/>
        <w:jc w:val="both"/>
      </w:pPr>
      <w:r>
        <w:t> </w:t>
      </w:r>
    </w:p>
    <w:p w14:paraId="5877BEFD" w14:textId="77777777" w:rsidR="00447AE9" w:rsidRDefault="00447AE9" w:rsidP="00447AE9">
      <w:pPr>
        <w:ind w:left="378" w:hanging="140"/>
        <w:jc w:val="both"/>
      </w:pPr>
      <w:r>
        <w:t> </w:t>
      </w:r>
    </w:p>
    <w:p w14:paraId="04E6DF2F" w14:textId="77777777" w:rsidR="00447AE9" w:rsidRDefault="00447AE9" w:rsidP="00447AE9">
      <w:pPr>
        <w:ind w:left="378" w:hanging="140"/>
        <w:jc w:val="both"/>
      </w:pPr>
      <w:r>
        <w:t> </w:t>
      </w:r>
    </w:p>
    <w:p w14:paraId="280CB770" w14:textId="77777777" w:rsidR="00447AE9" w:rsidRDefault="00447AE9" w:rsidP="00447AE9">
      <w:pPr>
        <w:ind w:left="378" w:hanging="140"/>
        <w:jc w:val="both"/>
      </w:pPr>
      <w:r>
        <w:t> </w:t>
      </w:r>
    </w:p>
    <w:p w14:paraId="0AE6015B" w14:textId="77777777" w:rsidR="00447AE9" w:rsidRDefault="00447AE9" w:rsidP="00447AE9">
      <w:pPr>
        <w:ind w:left="378" w:hanging="140"/>
        <w:jc w:val="both"/>
      </w:pPr>
      <w:r>
        <w:t> </w:t>
      </w:r>
    </w:p>
    <w:p w14:paraId="34CEC658" w14:textId="77777777" w:rsidR="00447AE9" w:rsidRDefault="00447AE9" w:rsidP="00447AE9">
      <w:pPr>
        <w:ind w:left="378" w:hanging="140"/>
        <w:jc w:val="both"/>
      </w:pPr>
      <w:r>
        <w:t> </w:t>
      </w:r>
    </w:p>
    <w:p w14:paraId="7B9BDFFA" w14:textId="77777777" w:rsidR="00447AE9" w:rsidRDefault="00447AE9" w:rsidP="00447AE9">
      <w:pPr>
        <w:ind w:left="378" w:hanging="140"/>
        <w:jc w:val="both"/>
      </w:pPr>
    </w:p>
    <w:p w14:paraId="25EC7B00" w14:textId="77777777" w:rsidR="00447AE9" w:rsidRDefault="00447AE9" w:rsidP="00447AE9">
      <w:pPr>
        <w:ind w:left="378" w:hanging="140"/>
        <w:jc w:val="both"/>
      </w:pPr>
    </w:p>
    <w:p w14:paraId="7C37682B" w14:textId="77777777" w:rsidR="00447AE9" w:rsidRDefault="00447AE9" w:rsidP="00447AE9">
      <w:pPr>
        <w:jc w:val="both"/>
      </w:pPr>
      <w:r>
        <w:t>Z Rozvahy se finanční způsobilost počítá:</w:t>
      </w:r>
    </w:p>
    <w:tbl>
      <w:tblPr>
        <w:tblpPr w:leftFromText="141" w:rightFromText="141" w:vertAnchor="text"/>
        <w:tblW w:w="0" w:type="auto"/>
        <w:tblCellMar>
          <w:left w:w="0" w:type="dxa"/>
          <w:right w:w="0" w:type="dxa"/>
        </w:tblCellMar>
        <w:tblLook w:val="04A0" w:firstRow="1" w:lastRow="0" w:firstColumn="1" w:lastColumn="0" w:noHBand="0" w:noVBand="1"/>
      </w:tblPr>
      <w:tblGrid>
        <w:gridCol w:w="3047"/>
        <w:gridCol w:w="2268"/>
      </w:tblGrid>
      <w:tr w:rsidR="00447AE9" w14:paraId="656D0735" w14:textId="77777777" w:rsidTr="00447AE9">
        <w:tc>
          <w:tcPr>
            <w:tcW w:w="30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A42A29" w14:textId="77777777" w:rsidR="00447AE9" w:rsidRDefault="00447AE9">
            <w:pPr>
              <w:pStyle w:val="Nadpis9"/>
              <w:jc w:val="center"/>
            </w:pPr>
            <w:r>
              <w:rPr>
                <w:rFonts w:ascii="Times New Roman" w:hAnsi="Times New Roman" w:cs="Times New Roman"/>
                <w:b/>
                <w:bCs/>
                <w:sz w:val="24"/>
                <w:szCs w:val="24"/>
              </w:rPr>
              <w:t>Účetnictví (Rozvaha)</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8F26081" w14:textId="77777777" w:rsidR="00447AE9" w:rsidRDefault="00447AE9">
            <w:pPr>
              <w:jc w:val="center"/>
            </w:pPr>
            <w:r>
              <w:rPr>
                <w:b/>
                <w:bCs/>
              </w:rPr>
              <w:t>Běžné účetní období</w:t>
            </w:r>
          </w:p>
        </w:tc>
      </w:tr>
      <w:tr w:rsidR="00447AE9" w14:paraId="4957D0D7" w14:textId="77777777" w:rsidTr="00447AE9">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BA6DFF" w14:textId="77777777" w:rsidR="00447AE9" w:rsidRDefault="00447AE9">
            <w:pPr>
              <w:jc w:val="both"/>
            </w:pPr>
            <w:r>
              <w:t>aktiva celkem (sloupec netto)</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1A9F22" w14:textId="77777777" w:rsidR="00447AE9" w:rsidRDefault="00447AE9">
            <w:pPr>
              <w:jc w:val="both"/>
            </w:pPr>
            <w:r>
              <w:rPr>
                <w:b/>
                <w:bCs/>
              </w:rPr>
              <w:t>+</w:t>
            </w:r>
          </w:p>
        </w:tc>
      </w:tr>
      <w:tr w:rsidR="00447AE9" w14:paraId="2ED4A861" w14:textId="77777777" w:rsidTr="00447AE9">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F39AC0" w14:textId="77777777" w:rsidR="00447AE9" w:rsidRDefault="00447AE9">
            <w:pPr>
              <w:jc w:val="both"/>
            </w:pPr>
            <w:r>
              <w:t>cizí zdroje</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849F00" w14:textId="77777777" w:rsidR="00447AE9" w:rsidRDefault="00447AE9">
            <w:pPr>
              <w:jc w:val="both"/>
            </w:pPr>
            <w:r>
              <w:rPr>
                <w:b/>
                <w:bCs/>
              </w:rPr>
              <w:t>-</w:t>
            </w:r>
          </w:p>
        </w:tc>
      </w:tr>
      <w:tr w:rsidR="00447AE9" w14:paraId="2FF98307" w14:textId="77777777" w:rsidTr="00447AE9">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4C61DD" w14:textId="77777777" w:rsidR="00447AE9" w:rsidRDefault="00447AE9">
            <w:pPr>
              <w:jc w:val="both"/>
            </w:pPr>
            <w:r>
              <w:t>rezervy</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531FD9" w14:textId="77777777" w:rsidR="00447AE9" w:rsidRDefault="00447AE9">
            <w:pPr>
              <w:jc w:val="both"/>
            </w:pPr>
            <w:r>
              <w:rPr>
                <w:b/>
                <w:bCs/>
              </w:rPr>
              <w:t>+</w:t>
            </w:r>
          </w:p>
        </w:tc>
      </w:tr>
      <w:tr w:rsidR="00447AE9" w14:paraId="5833A107" w14:textId="77777777" w:rsidTr="00447AE9">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246A0E" w14:textId="77777777" w:rsidR="00447AE9" w:rsidRDefault="00447AE9">
            <w:pPr>
              <w:jc w:val="both"/>
            </w:pPr>
            <w:r>
              <w:t>časové rozlišení v pasivech</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054BA4" w14:textId="77777777" w:rsidR="00447AE9" w:rsidRDefault="00447AE9">
            <w:pPr>
              <w:jc w:val="both"/>
            </w:pPr>
            <w:r>
              <w:rPr>
                <w:b/>
                <w:bCs/>
              </w:rPr>
              <w:t>-</w:t>
            </w:r>
          </w:p>
        </w:tc>
      </w:tr>
    </w:tbl>
    <w:p w14:paraId="4FB56A33" w14:textId="77777777" w:rsidR="00447AE9" w:rsidRDefault="00447AE9" w:rsidP="00447AE9">
      <w:pPr>
        <w:jc w:val="both"/>
      </w:pPr>
    </w:p>
    <w:p w14:paraId="7DB80C80" w14:textId="77777777" w:rsidR="00447AE9" w:rsidRDefault="00447AE9" w:rsidP="00447AE9">
      <w:pPr>
        <w:jc w:val="both"/>
      </w:pPr>
    </w:p>
    <w:p w14:paraId="18C492DF" w14:textId="77777777" w:rsidR="00447AE9" w:rsidRDefault="00447AE9" w:rsidP="00447AE9">
      <w:pPr>
        <w:jc w:val="both"/>
      </w:pPr>
    </w:p>
    <w:p w14:paraId="48433EF7" w14:textId="77777777" w:rsidR="00447AE9" w:rsidRDefault="00447AE9" w:rsidP="00447AE9">
      <w:pPr>
        <w:jc w:val="both"/>
      </w:pPr>
    </w:p>
    <w:p w14:paraId="56D36E48" w14:textId="77777777" w:rsidR="00447AE9" w:rsidRDefault="00447AE9" w:rsidP="00447AE9">
      <w:pPr>
        <w:jc w:val="both"/>
      </w:pPr>
    </w:p>
    <w:p w14:paraId="083AB739" w14:textId="77777777" w:rsidR="00447AE9" w:rsidRDefault="00447AE9" w:rsidP="00447AE9">
      <w:pPr>
        <w:jc w:val="both"/>
      </w:pPr>
    </w:p>
    <w:p w14:paraId="4F93AADF" w14:textId="77777777" w:rsidR="00BC56DA" w:rsidRDefault="00BC56DA" w:rsidP="00447AE9">
      <w:pPr>
        <w:jc w:val="both"/>
      </w:pPr>
    </w:p>
    <w:p w14:paraId="6F0F0A72" w14:textId="77777777" w:rsidR="00447AE9" w:rsidRDefault="00447AE9" w:rsidP="00BC56DA">
      <w:pPr>
        <w:pStyle w:val="Odstavecseseznamem"/>
        <w:numPr>
          <w:ilvl w:val="0"/>
          <w:numId w:val="7"/>
        </w:numPr>
        <w:ind w:left="284" w:hanging="284"/>
        <w:jc w:val="both"/>
      </w:pPr>
      <w:r w:rsidRPr="00BC56DA">
        <w:rPr>
          <w:u w:val="single"/>
        </w:rPr>
        <w:t>pro ostatní, kteří nemohou nebo nechtějí prokázat FZ daňovou evidenci (jednoduché účetnictví) nebo účetnictvím (podvojné účetnictví)</w:t>
      </w:r>
      <w:r>
        <w:t xml:space="preserve"> – zašlete poštou (v obálce) nebo datovou zprávou:</w:t>
      </w:r>
    </w:p>
    <w:p w14:paraId="2F10A4A9" w14:textId="77777777" w:rsidR="00447AE9" w:rsidRDefault="00447AE9" w:rsidP="00BC56DA">
      <w:pPr>
        <w:ind w:firstLine="284"/>
        <w:jc w:val="both"/>
      </w:pPr>
      <w:r>
        <w:rPr>
          <w:b/>
          <w:bCs/>
        </w:rPr>
        <w:t>Žádost o Finanční způsobilost (s vyplněným datem + podpis a razítko)</w:t>
      </w:r>
      <w:r>
        <w:t xml:space="preserve"> +</w:t>
      </w:r>
    </w:p>
    <w:p w14:paraId="2C89BAF1" w14:textId="77777777" w:rsidR="00A33DE9" w:rsidRDefault="00447AE9" w:rsidP="00BC56DA">
      <w:pPr>
        <w:pStyle w:val="Odstavecseseznamem"/>
        <w:numPr>
          <w:ilvl w:val="0"/>
          <w:numId w:val="6"/>
        </w:numPr>
        <w:ind w:left="567" w:hanging="283"/>
        <w:jc w:val="both"/>
      </w:pPr>
      <w:r w:rsidRPr="00A33DE9">
        <w:rPr>
          <w:b/>
          <w:bCs/>
        </w:rPr>
        <w:t>kopii Smlouvy o ručení</w:t>
      </w:r>
      <w:r>
        <w:t xml:space="preserve"> </w:t>
      </w:r>
      <w:r w:rsidRPr="00A33DE9">
        <w:rPr>
          <w:b/>
          <w:bCs/>
        </w:rPr>
        <w:t>na prokázání finanční způsobilosti dopravce</w:t>
      </w:r>
      <w:r>
        <w:t xml:space="preserve"> na potřebnou částku uzavřenou s Českou podnikatelskou pojišťovnou nebo s Českou pojišťovnou nebo s pojišťovnou </w:t>
      </w:r>
      <w:proofErr w:type="spellStart"/>
      <w:r>
        <w:t>Slávia</w:t>
      </w:r>
      <w:proofErr w:type="spellEnd"/>
      <w:r>
        <w:t xml:space="preserve"> nebo s pojišťovnou UNIQA s dobou platnosti na kalendářní rok 2022,</w:t>
      </w:r>
    </w:p>
    <w:p w14:paraId="3AD57755" w14:textId="77777777" w:rsidR="001C0BDC" w:rsidRDefault="00447AE9" w:rsidP="00BC56DA">
      <w:pPr>
        <w:pStyle w:val="Odstavecseseznamem"/>
        <w:numPr>
          <w:ilvl w:val="0"/>
          <w:numId w:val="6"/>
        </w:numPr>
        <w:ind w:left="567" w:hanging="283"/>
        <w:jc w:val="both"/>
      </w:pPr>
      <w:r>
        <w:lastRenderedPageBreak/>
        <w:t xml:space="preserve">nebo </w:t>
      </w:r>
      <w:r w:rsidRPr="00A33DE9">
        <w:rPr>
          <w:b/>
          <w:bCs/>
        </w:rPr>
        <w:t>kopii Smlouvy o</w:t>
      </w:r>
      <w:r>
        <w:t xml:space="preserve"> </w:t>
      </w:r>
      <w:r w:rsidRPr="00A33DE9">
        <w:rPr>
          <w:b/>
          <w:bCs/>
        </w:rPr>
        <w:t>pojištění odpovědnosti za škodu silničního dopravce</w:t>
      </w:r>
      <w:r>
        <w:t xml:space="preserve"> (tj. pojištění nákladu) na potřebnou částku s dobou platnosti na kalendářní rok 2022,</w:t>
      </w:r>
    </w:p>
    <w:p w14:paraId="2A4FD22B" w14:textId="77777777" w:rsidR="00447AE9" w:rsidRDefault="00447AE9" w:rsidP="00BC56DA">
      <w:pPr>
        <w:pStyle w:val="Odstavecseseznamem"/>
        <w:numPr>
          <w:ilvl w:val="0"/>
          <w:numId w:val="6"/>
        </w:numPr>
        <w:ind w:left="567" w:hanging="283"/>
        <w:jc w:val="both"/>
      </w:pPr>
      <w:r>
        <w:t xml:space="preserve">nebo </w:t>
      </w:r>
      <w:r w:rsidRPr="001C0BDC">
        <w:rPr>
          <w:b/>
          <w:bCs/>
        </w:rPr>
        <w:t xml:space="preserve">kopii úrazového pojištění přepravovaných osob </w:t>
      </w:r>
      <w:r>
        <w:t>(</w:t>
      </w:r>
      <w:r w:rsidRPr="001C0BDC">
        <w:rPr>
          <w:b/>
          <w:bCs/>
        </w:rPr>
        <w:t>pouze u autobusů</w:t>
      </w:r>
      <w:r>
        <w:t>) na potřebnou částku s dobou platnosti na kalendářní rok 2022.</w:t>
      </w:r>
    </w:p>
    <w:p w14:paraId="533E90BD" w14:textId="77777777" w:rsidR="00447AE9" w:rsidRDefault="00447AE9" w:rsidP="00A33DE9">
      <w:pPr>
        <w:jc w:val="both"/>
      </w:pPr>
      <w:r>
        <w:rPr>
          <w:b/>
          <w:bCs/>
        </w:rPr>
        <w:t>Jestli budete prokazovat finanční způsobilost</w:t>
      </w:r>
      <w:r>
        <w:t xml:space="preserve"> </w:t>
      </w:r>
      <w:r>
        <w:rPr>
          <w:b/>
          <w:bCs/>
          <w:u w:val="single"/>
        </w:rPr>
        <w:t>SMLOUVOU (pojištěním)</w:t>
      </w:r>
      <w:r>
        <w:rPr>
          <w:b/>
          <w:bCs/>
        </w:rPr>
        <w:t>, tak je lépe to udělat hned, aby platnost smlouvy byla od 1. 1. do 31. 12. daného roku, ve kterém se FZ prokazuje (kalendářní rok dle zákona o SD a nařízení EP a R).</w:t>
      </w:r>
    </w:p>
    <w:p w14:paraId="224389B0" w14:textId="77777777" w:rsidR="00447AE9" w:rsidRDefault="00447AE9" w:rsidP="00A33DE9">
      <w:pPr>
        <w:jc w:val="both"/>
        <w:rPr>
          <w:b/>
          <w:bCs/>
        </w:rPr>
      </w:pPr>
      <w:r>
        <w:rPr>
          <w:b/>
          <w:bCs/>
          <w:i/>
          <w:iCs/>
          <w:u w:val="single"/>
        </w:rPr>
        <w:t>K prokázání finanční způsobilosti j</w:t>
      </w:r>
      <w:r>
        <w:rPr>
          <w:b/>
          <w:bCs/>
          <w:i/>
          <w:iCs/>
          <w:color w:val="000000"/>
          <w:u w:val="single"/>
        </w:rPr>
        <w:t xml:space="preserve">e potřeba </w:t>
      </w:r>
      <w:r>
        <w:rPr>
          <w:b/>
          <w:bCs/>
          <w:i/>
          <w:iCs/>
          <w:u w:val="single"/>
        </w:rPr>
        <w:t>227.781</w:t>
      </w:r>
      <w:r>
        <w:rPr>
          <w:b/>
          <w:bCs/>
          <w:i/>
          <w:iCs/>
          <w:color w:val="000000"/>
          <w:u w:val="single"/>
        </w:rPr>
        <w:t xml:space="preserve">,- Kč na první vozidlo + </w:t>
      </w:r>
      <w:r>
        <w:rPr>
          <w:b/>
          <w:bCs/>
          <w:i/>
          <w:iCs/>
          <w:u w:val="single"/>
        </w:rPr>
        <w:t>126.545</w:t>
      </w:r>
      <w:r>
        <w:rPr>
          <w:b/>
          <w:bCs/>
          <w:i/>
          <w:iCs/>
          <w:color w:val="000000"/>
          <w:u w:val="single"/>
        </w:rPr>
        <w:t>,- Kč na každé další vozidlo</w:t>
      </w:r>
      <w:r>
        <w:rPr>
          <w:b/>
          <w:bCs/>
          <w:color w:val="000000"/>
        </w:rPr>
        <w:t xml:space="preserve"> (kurz 202</w:t>
      </w:r>
      <w:r>
        <w:rPr>
          <w:b/>
          <w:bCs/>
        </w:rPr>
        <w:t>2</w:t>
      </w:r>
      <w:r>
        <w:rPr>
          <w:b/>
          <w:bCs/>
          <w:color w:val="000000"/>
        </w:rPr>
        <w:t xml:space="preserve"> - </w:t>
      </w:r>
      <w:r>
        <w:rPr>
          <w:b/>
          <w:bCs/>
          <w:color w:val="555555"/>
        </w:rPr>
        <w:t xml:space="preserve">1 euro </w:t>
      </w:r>
      <w:r>
        <w:rPr>
          <w:b/>
          <w:bCs/>
        </w:rPr>
        <w:t xml:space="preserve">= </w:t>
      </w:r>
      <w:r>
        <w:rPr>
          <w:rStyle w:val="Siln"/>
        </w:rPr>
        <w:t>25,309</w:t>
      </w:r>
      <w:r>
        <w:rPr>
          <w:b/>
          <w:bCs/>
        </w:rPr>
        <w:t xml:space="preserve"> Kč)</w:t>
      </w:r>
    </w:p>
    <w:p w14:paraId="1405F56A" w14:textId="77777777" w:rsidR="00447AE9" w:rsidRDefault="00447AE9" w:rsidP="00A33DE9">
      <w:pPr>
        <w:pStyle w:val="Zkladntext"/>
      </w:pPr>
    </w:p>
    <w:p w14:paraId="43A49A21" w14:textId="77777777" w:rsidR="00447AE9" w:rsidRDefault="00447AE9" w:rsidP="00A33DE9">
      <w:pPr>
        <w:jc w:val="both"/>
      </w:pPr>
      <w:r>
        <w:t xml:space="preserve">Posílám tabulku pro výpočet částky na FZ dle počtu vozidel (do 50 vozidel). Kdo má více vozidel, tak si to bude muset spočítat z rovnice </w:t>
      </w:r>
      <w:r>
        <w:rPr>
          <w:b/>
          <w:bCs/>
        </w:rPr>
        <w:t>1x227781+(Y-1)x126545=částka v Kč</w:t>
      </w:r>
      <w:r>
        <w:t xml:space="preserve">, kde </w:t>
      </w:r>
      <w:r>
        <w:rPr>
          <w:b/>
          <w:bCs/>
        </w:rPr>
        <w:t>Y</w:t>
      </w:r>
      <w:r>
        <w:t xml:space="preserve"> je počet vozidel.</w:t>
      </w:r>
    </w:p>
    <w:p w14:paraId="1CB9CDCA" w14:textId="77777777" w:rsidR="00447AE9" w:rsidRDefault="00447AE9" w:rsidP="00447AE9"/>
    <w:tbl>
      <w:tblPr>
        <w:tblW w:w="4520" w:type="dxa"/>
        <w:tblInd w:w="50" w:type="dxa"/>
        <w:tblCellMar>
          <w:left w:w="0" w:type="dxa"/>
          <w:right w:w="0" w:type="dxa"/>
        </w:tblCellMar>
        <w:tblLook w:val="04A0" w:firstRow="1" w:lastRow="0" w:firstColumn="1" w:lastColumn="0" w:noHBand="0" w:noVBand="1"/>
      </w:tblPr>
      <w:tblGrid>
        <w:gridCol w:w="737"/>
        <w:gridCol w:w="1511"/>
        <w:gridCol w:w="735"/>
        <w:gridCol w:w="1537"/>
      </w:tblGrid>
      <w:tr w:rsidR="00447AE9" w14:paraId="73E60D57" w14:textId="77777777" w:rsidTr="00447AE9">
        <w:trPr>
          <w:trHeight w:val="270"/>
        </w:trPr>
        <w:tc>
          <w:tcPr>
            <w:tcW w:w="7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F188425" w14:textId="77777777" w:rsidR="00447AE9" w:rsidRDefault="00447AE9">
            <w:pPr>
              <w:jc w:val="center"/>
            </w:pPr>
            <w:r>
              <w:rPr>
                <w:b/>
                <w:bCs/>
                <w:sz w:val="20"/>
                <w:szCs w:val="20"/>
              </w:rPr>
              <w:t>P.AUT</w:t>
            </w:r>
          </w:p>
        </w:tc>
        <w:tc>
          <w:tcPr>
            <w:tcW w:w="151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A92370B" w14:textId="77777777" w:rsidR="00447AE9" w:rsidRDefault="00447AE9">
            <w:pPr>
              <w:jc w:val="center"/>
            </w:pPr>
            <w:r>
              <w:rPr>
                <w:b/>
                <w:bCs/>
                <w:sz w:val="20"/>
                <w:szCs w:val="20"/>
              </w:rPr>
              <w:t xml:space="preserve"> VÝŠE FZ </w:t>
            </w:r>
          </w:p>
        </w:tc>
        <w:tc>
          <w:tcPr>
            <w:tcW w:w="7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26564BEF" w14:textId="77777777" w:rsidR="00447AE9" w:rsidRDefault="00447AE9">
            <w:pPr>
              <w:jc w:val="center"/>
            </w:pPr>
            <w:r>
              <w:rPr>
                <w:b/>
                <w:bCs/>
                <w:sz w:val="20"/>
                <w:szCs w:val="20"/>
              </w:rPr>
              <w:t>P.AUT</w:t>
            </w:r>
          </w:p>
        </w:tc>
        <w:tc>
          <w:tcPr>
            <w:tcW w:w="15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57ABC65F" w14:textId="77777777" w:rsidR="00447AE9" w:rsidRDefault="00447AE9">
            <w:pPr>
              <w:jc w:val="center"/>
            </w:pPr>
            <w:r>
              <w:rPr>
                <w:b/>
                <w:bCs/>
                <w:sz w:val="20"/>
                <w:szCs w:val="20"/>
              </w:rPr>
              <w:t xml:space="preserve"> VÝŠE FZ </w:t>
            </w:r>
          </w:p>
        </w:tc>
      </w:tr>
      <w:tr w:rsidR="00447AE9" w14:paraId="5A341181"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9AB2D9" w14:textId="77777777" w:rsidR="00447AE9" w:rsidRDefault="00447AE9">
            <w:pPr>
              <w:jc w:val="center"/>
            </w:pPr>
            <w:r>
              <w:rPr>
                <w:b/>
                <w:bCs/>
                <w:sz w:val="20"/>
                <w:szCs w:val="20"/>
              </w:rPr>
              <w:t>1</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CC0C91" w14:textId="77777777" w:rsidR="00447AE9" w:rsidRDefault="00447AE9">
            <w:pPr>
              <w:jc w:val="center"/>
              <w:rPr>
                <w:b/>
                <w:bCs/>
                <w:sz w:val="20"/>
                <w:szCs w:val="20"/>
              </w:rPr>
            </w:pPr>
            <w:r>
              <w:rPr>
                <w:b/>
                <w:bCs/>
                <w:sz w:val="20"/>
                <w:szCs w:val="20"/>
              </w:rPr>
              <w:t xml:space="preserve">       227 781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70AF96F" w14:textId="77777777" w:rsidR="00447AE9" w:rsidRDefault="00447AE9">
            <w:pPr>
              <w:jc w:val="center"/>
            </w:pPr>
            <w:r>
              <w:rPr>
                <w:b/>
                <w:bCs/>
                <w:sz w:val="20"/>
                <w:szCs w:val="20"/>
              </w:rPr>
              <w:t>26</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B0FDA3C" w14:textId="77777777" w:rsidR="00447AE9" w:rsidRDefault="00447AE9">
            <w:pPr>
              <w:jc w:val="center"/>
              <w:rPr>
                <w:b/>
                <w:bCs/>
                <w:sz w:val="20"/>
                <w:szCs w:val="20"/>
              </w:rPr>
            </w:pPr>
            <w:r>
              <w:rPr>
                <w:b/>
                <w:bCs/>
                <w:sz w:val="20"/>
                <w:szCs w:val="20"/>
              </w:rPr>
              <w:t xml:space="preserve">    3 391 406 Kč </w:t>
            </w:r>
          </w:p>
        </w:tc>
      </w:tr>
      <w:tr w:rsidR="00447AE9" w14:paraId="38580616"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90564F" w14:textId="77777777" w:rsidR="00447AE9" w:rsidRDefault="00447AE9">
            <w:pPr>
              <w:jc w:val="center"/>
            </w:pPr>
            <w:r>
              <w:rPr>
                <w:b/>
                <w:bCs/>
                <w:sz w:val="20"/>
                <w:szCs w:val="20"/>
              </w:rPr>
              <w:t>2</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4BE360" w14:textId="77777777" w:rsidR="00447AE9" w:rsidRDefault="00447AE9">
            <w:pPr>
              <w:jc w:val="center"/>
              <w:rPr>
                <w:b/>
                <w:bCs/>
                <w:sz w:val="20"/>
                <w:szCs w:val="20"/>
              </w:rPr>
            </w:pPr>
            <w:r>
              <w:rPr>
                <w:b/>
                <w:bCs/>
                <w:sz w:val="20"/>
                <w:szCs w:val="20"/>
              </w:rPr>
              <w:t xml:space="preserve">       354 326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05EA913" w14:textId="77777777" w:rsidR="00447AE9" w:rsidRDefault="00447AE9">
            <w:pPr>
              <w:jc w:val="center"/>
            </w:pPr>
            <w:r>
              <w:rPr>
                <w:b/>
                <w:bCs/>
                <w:sz w:val="20"/>
                <w:szCs w:val="20"/>
              </w:rPr>
              <w:t>27</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A891784" w14:textId="77777777" w:rsidR="00447AE9" w:rsidRDefault="00447AE9">
            <w:pPr>
              <w:jc w:val="center"/>
              <w:rPr>
                <w:b/>
                <w:bCs/>
                <w:sz w:val="20"/>
                <w:szCs w:val="20"/>
              </w:rPr>
            </w:pPr>
            <w:r>
              <w:rPr>
                <w:b/>
                <w:bCs/>
                <w:sz w:val="20"/>
                <w:szCs w:val="20"/>
              </w:rPr>
              <w:t xml:space="preserve">    3 517 951 Kč </w:t>
            </w:r>
          </w:p>
        </w:tc>
      </w:tr>
      <w:tr w:rsidR="00447AE9" w14:paraId="12F87957"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EE3962" w14:textId="77777777" w:rsidR="00447AE9" w:rsidRDefault="00447AE9">
            <w:pPr>
              <w:jc w:val="center"/>
            </w:pPr>
            <w:r>
              <w:rPr>
                <w:b/>
                <w:bCs/>
                <w:sz w:val="20"/>
                <w:szCs w:val="20"/>
              </w:rPr>
              <w:t>3</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1C31B5" w14:textId="77777777" w:rsidR="00447AE9" w:rsidRDefault="00447AE9">
            <w:pPr>
              <w:jc w:val="center"/>
              <w:rPr>
                <w:b/>
                <w:bCs/>
                <w:sz w:val="20"/>
                <w:szCs w:val="20"/>
              </w:rPr>
            </w:pPr>
            <w:r>
              <w:rPr>
                <w:b/>
                <w:bCs/>
                <w:sz w:val="20"/>
                <w:szCs w:val="20"/>
              </w:rPr>
              <w:t xml:space="preserve">       480 871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5AB9CB6" w14:textId="77777777" w:rsidR="00447AE9" w:rsidRDefault="00447AE9">
            <w:pPr>
              <w:jc w:val="center"/>
            </w:pPr>
            <w:r>
              <w:rPr>
                <w:b/>
                <w:bCs/>
                <w:sz w:val="20"/>
                <w:szCs w:val="20"/>
              </w:rPr>
              <w:t>28</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3A7AF2F" w14:textId="77777777" w:rsidR="00447AE9" w:rsidRDefault="00447AE9">
            <w:pPr>
              <w:jc w:val="center"/>
              <w:rPr>
                <w:b/>
                <w:bCs/>
                <w:sz w:val="20"/>
                <w:szCs w:val="20"/>
              </w:rPr>
            </w:pPr>
            <w:r>
              <w:rPr>
                <w:b/>
                <w:bCs/>
                <w:sz w:val="20"/>
                <w:szCs w:val="20"/>
              </w:rPr>
              <w:t xml:space="preserve">    3 644 496 Kč </w:t>
            </w:r>
          </w:p>
        </w:tc>
      </w:tr>
      <w:tr w:rsidR="00447AE9" w14:paraId="3015C7DC"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53BB39" w14:textId="77777777" w:rsidR="00447AE9" w:rsidRDefault="00447AE9">
            <w:pPr>
              <w:jc w:val="center"/>
            </w:pPr>
            <w:r>
              <w:rPr>
                <w:b/>
                <w:bCs/>
                <w:sz w:val="20"/>
                <w:szCs w:val="20"/>
              </w:rPr>
              <w:t>4</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425185" w14:textId="77777777" w:rsidR="00447AE9" w:rsidRDefault="00447AE9">
            <w:pPr>
              <w:jc w:val="center"/>
              <w:rPr>
                <w:b/>
                <w:bCs/>
                <w:sz w:val="20"/>
                <w:szCs w:val="20"/>
              </w:rPr>
            </w:pPr>
            <w:r>
              <w:rPr>
                <w:b/>
                <w:bCs/>
                <w:sz w:val="20"/>
                <w:szCs w:val="20"/>
              </w:rPr>
              <w:t xml:space="preserve">       607 416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F3E5705" w14:textId="77777777" w:rsidR="00447AE9" w:rsidRDefault="00447AE9">
            <w:pPr>
              <w:jc w:val="center"/>
            </w:pPr>
            <w:r>
              <w:rPr>
                <w:b/>
                <w:bCs/>
                <w:sz w:val="20"/>
                <w:szCs w:val="20"/>
              </w:rPr>
              <w:t>29</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59D56BF" w14:textId="77777777" w:rsidR="00447AE9" w:rsidRDefault="00447AE9">
            <w:pPr>
              <w:jc w:val="center"/>
              <w:rPr>
                <w:b/>
                <w:bCs/>
                <w:sz w:val="20"/>
                <w:szCs w:val="20"/>
              </w:rPr>
            </w:pPr>
            <w:r>
              <w:rPr>
                <w:b/>
                <w:bCs/>
                <w:sz w:val="20"/>
                <w:szCs w:val="20"/>
              </w:rPr>
              <w:t xml:space="preserve">    3 771 041 Kč </w:t>
            </w:r>
          </w:p>
        </w:tc>
      </w:tr>
      <w:tr w:rsidR="00447AE9" w14:paraId="66C00A4C"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A1211B" w14:textId="77777777" w:rsidR="00447AE9" w:rsidRDefault="00447AE9">
            <w:pPr>
              <w:jc w:val="center"/>
            </w:pPr>
            <w:r>
              <w:rPr>
                <w:b/>
                <w:bCs/>
                <w:sz w:val="20"/>
                <w:szCs w:val="20"/>
              </w:rPr>
              <w:t>5</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7FEF03" w14:textId="77777777" w:rsidR="00447AE9" w:rsidRDefault="00447AE9">
            <w:pPr>
              <w:jc w:val="center"/>
              <w:rPr>
                <w:b/>
                <w:bCs/>
                <w:sz w:val="20"/>
                <w:szCs w:val="20"/>
              </w:rPr>
            </w:pPr>
            <w:r>
              <w:rPr>
                <w:b/>
                <w:bCs/>
                <w:sz w:val="20"/>
                <w:szCs w:val="20"/>
              </w:rPr>
              <w:t xml:space="preserve">       733 961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50116A3" w14:textId="77777777" w:rsidR="00447AE9" w:rsidRDefault="00447AE9">
            <w:pPr>
              <w:jc w:val="center"/>
            </w:pPr>
            <w:r>
              <w:rPr>
                <w:b/>
                <w:bCs/>
                <w:sz w:val="20"/>
                <w:szCs w:val="20"/>
              </w:rPr>
              <w:t>30</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5CE4F2B" w14:textId="77777777" w:rsidR="00447AE9" w:rsidRDefault="00447AE9">
            <w:pPr>
              <w:jc w:val="center"/>
              <w:rPr>
                <w:b/>
                <w:bCs/>
                <w:sz w:val="20"/>
                <w:szCs w:val="20"/>
              </w:rPr>
            </w:pPr>
            <w:r>
              <w:rPr>
                <w:b/>
                <w:bCs/>
                <w:sz w:val="20"/>
                <w:szCs w:val="20"/>
              </w:rPr>
              <w:t xml:space="preserve">    3 897 586 Kč </w:t>
            </w:r>
          </w:p>
        </w:tc>
      </w:tr>
      <w:tr w:rsidR="00447AE9" w14:paraId="0393C53B"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57F21A" w14:textId="77777777" w:rsidR="00447AE9" w:rsidRDefault="00447AE9">
            <w:pPr>
              <w:jc w:val="center"/>
            </w:pPr>
            <w:r>
              <w:rPr>
                <w:b/>
                <w:bCs/>
                <w:sz w:val="20"/>
                <w:szCs w:val="20"/>
              </w:rPr>
              <w:t>6</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EFD03E" w14:textId="77777777" w:rsidR="00447AE9" w:rsidRDefault="00447AE9">
            <w:pPr>
              <w:jc w:val="center"/>
              <w:rPr>
                <w:b/>
                <w:bCs/>
                <w:sz w:val="20"/>
                <w:szCs w:val="20"/>
              </w:rPr>
            </w:pPr>
            <w:r>
              <w:rPr>
                <w:b/>
                <w:bCs/>
                <w:sz w:val="20"/>
                <w:szCs w:val="20"/>
              </w:rPr>
              <w:t xml:space="preserve">       860 506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314E405" w14:textId="77777777" w:rsidR="00447AE9" w:rsidRDefault="00447AE9">
            <w:pPr>
              <w:jc w:val="center"/>
            </w:pPr>
            <w:r>
              <w:rPr>
                <w:b/>
                <w:bCs/>
                <w:sz w:val="20"/>
                <w:szCs w:val="20"/>
              </w:rPr>
              <w:t>31</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37C5347" w14:textId="77777777" w:rsidR="00447AE9" w:rsidRDefault="00447AE9">
            <w:pPr>
              <w:jc w:val="center"/>
              <w:rPr>
                <w:b/>
                <w:bCs/>
                <w:sz w:val="20"/>
                <w:szCs w:val="20"/>
              </w:rPr>
            </w:pPr>
            <w:r>
              <w:rPr>
                <w:b/>
                <w:bCs/>
                <w:sz w:val="20"/>
                <w:szCs w:val="20"/>
              </w:rPr>
              <w:t xml:space="preserve">    4 024 131 Kč </w:t>
            </w:r>
          </w:p>
        </w:tc>
      </w:tr>
      <w:tr w:rsidR="00447AE9" w14:paraId="3513B606"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702146A" w14:textId="77777777" w:rsidR="00447AE9" w:rsidRDefault="00447AE9">
            <w:pPr>
              <w:jc w:val="center"/>
            </w:pPr>
            <w:r>
              <w:rPr>
                <w:b/>
                <w:bCs/>
                <w:sz w:val="20"/>
                <w:szCs w:val="20"/>
              </w:rPr>
              <w:t>7</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D61841" w14:textId="77777777" w:rsidR="00447AE9" w:rsidRDefault="00447AE9">
            <w:pPr>
              <w:jc w:val="center"/>
              <w:rPr>
                <w:b/>
                <w:bCs/>
                <w:sz w:val="20"/>
                <w:szCs w:val="20"/>
              </w:rPr>
            </w:pPr>
            <w:r>
              <w:rPr>
                <w:b/>
                <w:bCs/>
                <w:sz w:val="20"/>
                <w:szCs w:val="20"/>
              </w:rPr>
              <w:t xml:space="preserve">       987 051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16D1EC1" w14:textId="77777777" w:rsidR="00447AE9" w:rsidRDefault="00447AE9">
            <w:pPr>
              <w:jc w:val="center"/>
            </w:pPr>
            <w:r>
              <w:rPr>
                <w:b/>
                <w:bCs/>
                <w:sz w:val="20"/>
                <w:szCs w:val="20"/>
              </w:rPr>
              <w:t>32</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2417AE0" w14:textId="77777777" w:rsidR="00447AE9" w:rsidRDefault="00447AE9">
            <w:pPr>
              <w:jc w:val="center"/>
              <w:rPr>
                <w:b/>
                <w:bCs/>
                <w:sz w:val="20"/>
                <w:szCs w:val="20"/>
              </w:rPr>
            </w:pPr>
            <w:r>
              <w:rPr>
                <w:b/>
                <w:bCs/>
                <w:sz w:val="20"/>
                <w:szCs w:val="20"/>
              </w:rPr>
              <w:t xml:space="preserve">    4 150 676 Kč </w:t>
            </w:r>
          </w:p>
        </w:tc>
      </w:tr>
      <w:tr w:rsidR="00447AE9" w14:paraId="61C3054E"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03AD088" w14:textId="77777777" w:rsidR="00447AE9" w:rsidRDefault="00447AE9">
            <w:pPr>
              <w:jc w:val="center"/>
            </w:pPr>
            <w:r>
              <w:rPr>
                <w:b/>
                <w:bCs/>
                <w:sz w:val="20"/>
                <w:szCs w:val="20"/>
              </w:rPr>
              <w:t>8</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5ECEC3" w14:textId="77777777" w:rsidR="00447AE9" w:rsidRDefault="00447AE9">
            <w:pPr>
              <w:jc w:val="center"/>
              <w:rPr>
                <w:b/>
                <w:bCs/>
                <w:sz w:val="20"/>
                <w:szCs w:val="20"/>
              </w:rPr>
            </w:pPr>
            <w:r>
              <w:rPr>
                <w:b/>
                <w:bCs/>
                <w:sz w:val="20"/>
                <w:szCs w:val="20"/>
              </w:rPr>
              <w:t xml:space="preserve">    1 113 596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F2F1B7A" w14:textId="77777777" w:rsidR="00447AE9" w:rsidRDefault="00447AE9">
            <w:pPr>
              <w:jc w:val="center"/>
            </w:pPr>
            <w:r>
              <w:rPr>
                <w:b/>
                <w:bCs/>
                <w:sz w:val="20"/>
                <w:szCs w:val="20"/>
              </w:rPr>
              <w:t>33</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D3E1546" w14:textId="77777777" w:rsidR="00447AE9" w:rsidRDefault="00447AE9">
            <w:pPr>
              <w:jc w:val="center"/>
              <w:rPr>
                <w:b/>
                <w:bCs/>
                <w:sz w:val="20"/>
                <w:szCs w:val="20"/>
              </w:rPr>
            </w:pPr>
            <w:r>
              <w:rPr>
                <w:b/>
                <w:bCs/>
                <w:sz w:val="20"/>
                <w:szCs w:val="20"/>
              </w:rPr>
              <w:t xml:space="preserve">    4 277 221 Kč </w:t>
            </w:r>
          </w:p>
        </w:tc>
      </w:tr>
      <w:tr w:rsidR="00447AE9" w14:paraId="0695F29C"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AF6A3D" w14:textId="77777777" w:rsidR="00447AE9" w:rsidRDefault="00447AE9">
            <w:pPr>
              <w:jc w:val="center"/>
            </w:pPr>
            <w:r>
              <w:rPr>
                <w:b/>
                <w:bCs/>
                <w:sz w:val="20"/>
                <w:szCs w:val="20"/>
              </w:rPr>
              <w:t>9</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8B6507" w14:textId="77777777" w:rsidR="00447AE9" w:rsidRDefault="00447AE9">
            <w:pPr>
              <w:jc w:val="center"/>
              <w:rPr>
                <w:b/>
                <w:bCs/>
                <w:sz w:val="20"/>
                <w:szCs w:val="20"/>
              </w:rPr>
            </w:pPr>
            <w:r>
              <w:rPr>
                <w:b/>
                <w:bCs/>
                <w:sz w:val="20"/>
                <w:szCs w:val="20"/>
              </w:rPr>
              <w:t xml:space="preserve">    1 240 141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BAF803B" w14:textId="77777777" w:rsidR="00447AE9" w:rsidRDefault="00447AE9">
            <w:pPr>
              <w:jc w:val="center"/>
            </w:pPr>
            <w:r>
              <w:rPr>
                <w:b/>
                <w:bCs/>
                <w:sz w:val="20"/>
                <w:szCs w:val="20"/>
              </w:rPr>
              <w:t>34</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6D7243D" w14:textId="77777777" w:rsidR="00447AE9" w:rsidRDefault="00447AE9">
            <w:pPr>
              <w:jc w:val="center"/>
              <w:rPr>
                <w:b/>
                <w:bCs/>
                <w:sz w:val="20"/>
                <w:szCs w:val="20"/>
              </w:rPr>
            </w:pPr>
            <w:r>
              <w:rPr>
                <w:b/>
                <w:bCs/>
                <w:sz w:val="20"/>
                <w:szCs w:val="20"/>
              </w:rPr>
              <w:t xml:space="preserve">    4 403 766 Kč </w:t>
            </w:r>
          </w:p>
        </w:tc>
      </w:tr>
      <w:tr w:rsidR="00447AE9" w14:paraId="68231D34"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88F1DC" w14:textId="77777777" w:rsidR="00447AE9" w:rsidRDefault="00447AE9">
            <w:pPr>
              <w:jc w:val="center"/>
            </w:pPr>
            <w:r>
              <w:rPr>
                <w:b/>
                <w:bCs/>
                <w:sz w:val="20"/>
                <w:szCs w:val="20"/>
              </w:rPr>
              <w:t>10</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B35EB0" w14:textId="77777777" w:rsidR="00447AE9" w:rsidRDefault="00447AE9">
            <w:pPr>
              <w:jc w:val="center"/>
              <w:rPr>
                <w:b/>
                <w:bCs/>
                <w:sz w:val="20"/>
                <w:szCs w:val="20"/>
              </w:rPr>
            </w:pPr>
            <w:r>
              <w:rPr>
                <w:b/>
                <w:bCs/>
                <w:sz w:val="20"/>
                <w:szCs w:val="20"/>
              </w:rPr>
              <w:t xml:space="preserve">    1 366 686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54450A5" w14:textId="77777777" w:rsidR="00447AE9" w:rsidRDefault="00447AE9">
            <w:pPr>
              <w:jc w:val="center"/>
            </w:pPr>
            <w:r>
              <w:rPr>
                <w:b/>
                <w:bCs/>
                <w:sz w:val="20"/>
                <w:szCs w:val="20"/>
              </w:rPr>
              <w:t>35</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8D68117" w14:textId="77777777" w:rsidR="00447AE9" w:rsidRDefault="00447AE9">
            <w:pPr>
              <w:jc w:val="center"/>
              <w:rPr>
                <w:b/>
                <w:bCs/>
                <w:sz w:val="20"/>
                <w:szCs w:val="20"/>
              </w:rPr>
            </w:pPr>
            <w:r>
              <w:rPr>
                <w:b/>
                <w:bCs/>
                <w:sz w:val="20"/>
                <w:szCs w:val="20"/>
              </w:rPr>
              <w:t xml:space="preserve">    4 530 311 Kč </w:t>
            </w:r>
          </w:p>
        </w:tc>
      </w:tr>
      <w:tr w:rsidR="00447AE9" w14:paraId="0A3BFF44"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6244988" w14:textId="77777777" w:rsidR="00447AE9" w:rsidRDefault="00447AE9">
            <w:pPr>
              <w:jc w:val="center"/>
            </w:pPr>
            <w:r>
              <w:rPr>
                <w:b/>
                <w:bCs/>
                <w:sz w:val="20"/>
                <w:szCs w:val="20"/>
              </w:rPr>
              <w:t>11</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25A0A0" w14:textId="77777777" w:rsidR="00447AE9" w:rsidRDefault="00447AE9">
            <w:pPr>
              <w:jc w:val="center"/>
              <w:rPr>
                <w:b/>
                <w:bCs/>
                <w:sz w:val="20"/>
                <w:szCs w:val="20"/>
              </w:rPr>
            </w:pPr>
            <w:r>
              <w:rPr>
                <w:b/>
                <w:bCs/>
                <w:sz w:val="20"/>
                <w:szCs w:val="20"/>
              </w:rPr>
              <w:t xml:space="preserve">    1 493 231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38FF923" w14:textId="77777777" w:rsidR="00447AE9" w:rsidRDefault="00447AE9">
            <w:pPr>
              <w:jc w:val="center"/>
            </w:pPr>
            <w:r>
              <w:rPr>
                <w:b/>
                <w:bCs/>
                <w:sz w:val="20"/>
                <w:szCs w:val="20"/>
              </w:rPr>
              <w:t>36</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555737B" w14:textId="77777777" w:rsidR="00447AE9" w:rsidRDefault="00447AE9">
            <w:pPr>
              <w:jc w:val="center"/>
              <w:rPr>
                <w:b/>
                <w:bCs/>
                <w:sz w:val="20"/>
                <w:szCs w:val="20"/>
              </w:rPr>
            </w:pPr>
            <w:r>
              <w:rPr>
                <w:b/>
                <w:bCs/>
                <w:sz w:val="20"/>
                <w:szCs w:val="20"/>
              </w:rPr>
              <w:t xml:space="preserve">    4 656 856 Kč </w:t>
            </w:r>
          </w:p>
        </w:tc>
      </w:tr>
      <w:tr w:rsidR="00447AE9" w14:paraId="26C4E53C"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BC956A" w14:textId="77777777" w:rsidR="00447AE9" w:rsidRDefault="00447AE9">
            <w:pPr>
              <w:jc w:val="center"/>
            </w:pPr>
            <w:r>
              <w:rPr>
                <w:b/>
                <w:bCs/>
                <w:sz w:val="20"/>
                <w:szCs w:val="20"/>
              </w:rPr>
              <w:t>12</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BCE8CF" w14:textId="77777777" w:rsidR="00447AE9" w:rsidRDefault="00447AE9">
            <w:pPr>
              <w:jc w:val="center"/>
              <w:rPr>
                <w:b/>
                <w:bCs/>
                <w:sz w:val="20"/>
                <w:szCs w:val="20"/>
              </w:rPr>
            </w:pPr>
            <w:r>
              <w:rPr>
                <w:b/>
                <w:bCs/>
                <w:sz w:val="20"/>
                <w:szCs w:val="20"/>
              </w:rPr>
              <w:t xml:space="preserve">    1 619 776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D3C3D38" w14:textId="77777777" w:rsidR="00447AE9" w:rsidRDefault="00447AE9">
            <w:pPr>
              <w:jc w:val="center"/>
            </w:pPr>
            <w:r>
              <w:rPr>
                <w:b/>
                <w:bCs/>
                <w:sz w:val="20"/>
                <w:szCs w:val="20"/>
              </w:rPr>
              <w:t>37</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B055619" w14:textId="77777777" w:rsidR="00447AE9" w:rsidRDefault="00447AE9">
            <w:pPr>
              <w:jc w:val="center"/>
              <w:rPr>
                <w:b/>
                <w:bCs/>
                <w:sz w:val="20"/>
                <w:szCs w:val="20"/>
              </w:rPr>
            </w:pPr>
            <w:r>
              <w:rPr>
                <w:b/>
                <w:bCs/>
                <w:sz w:val="20"/>
                <w:szCs w:val="20"/>
              </w:rPr>
              <w:t xml:space="preserve">    4 783 401 Kč </w:t>
            </w:r>
          </w:p>
        </w:tc>
      </w:tr>
      <w:tr w:rsidR="00447AE9" w14:paraId="5420289E"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9AF4B4" w14:textId="77777777" w:rsidR="00447AE9" w:rsidRDefault="00447AE9">
            <w:pPr>
              <w:jc w:val="center"/>
            </w:pPr>
            <w:r>
              <w:rPr>
                <w:b/>
                <w:bCs/>
                <w:sz w:val="20"/>
                <w:szCs w:val="20"/>
              </w:rPr>
              <w:t>13</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AA8949" w14:textId="77777777" w:rsidR="00447AE9" w:rsidRDefault="00447AE9">
            <w:pPr>
              <w:jc w:val="center"/>
              <w:rPr>
                <w:b/>
                <w:bCs/>
                <w:sz w:val="20"/>
                <w:szCs w:val="20"/>
              </w:rPr>
            </w:pPr>
            <w:r>
              <w:rPr>
                <w:b/>
                <w:bCs/>
                <w:sz w:val="20"/>
                <w:szCs w:val="20"/>
              </w:rPr>
              <w:t xml:space="preserve">    1 746 321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A61A4F1" w14:textId="77777777" w:rsidR="00447AE9" w:rsidRDefault="00447AE9">
            <w:pPr>
              <w:jc w:val="center"/>
            </w:pPr>
            <w:r>
              <w:rPr>
                <w:b/>
                <w:bCs/>
                <w:sz w:val="20"/>
                <w:szCs w:val="20"/>
              </w:rPr>
              <w:t>38</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F0168D9" w14:textId="77777777" w:rsidR="00447AE9" w:rsidRDefault="00447AE9">
            <w:pPr>
              <w:jc w:val="center"/>
              <w:rPr>
                <w:b/>
                <w:bCs/>
                <w:sz w:val="20"/>
                <w:szCs w:val="20"/>
              </w:rPr>
            </w:pPr>
            <w:r>
              <w:rPr>
                <w:b/>
                <w:bCs/>
                <w:sz w:val="20"/>
                <w:szCs w:val="20"/>
              </w:rPr>
              <w:t xml:space="preserve">    4 909 946 Kč </w:t>
            </w:r>
          </w:p>
        </w:tc>
      </w:tr>
      <w:tr w:rsidR="00447AE9" w14:paraId="191747B3"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C322CB" w14:textId="77777777" w:rsidR="00447AE9" w:rsidRDefault="00447AE9">
            <w:pPr>
              <w:jc w:val="center"/>
            </w:pPr>
            <w:r>
              <w:rPr>
                <w:b/>
                <w:bCs/>
                <w:sz w:val="20"/>
                <w:szCs w:val="20"/>
              </w:rPr>
              <w:t>14</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1AA715" w14:textId="77777777" w:rsidR="00447AE9" w:rsidRDefault="00447AE9">
            <w:pPr>
              <w:jc w:val="center"/>
              <w:rPr>
                <w:b/>
                <w:bCs/>
                <w:sz w:val="20"/>
                <w:szCs w:val="20"/>
              </w:rPr>
            </w:pPr>
            <w:r>
              <w:rPr>
                <w:b/>
                <w:bCs/>
                <w:sz w:val="20"/>
                <w:szCs w:val="20"/>
              </w:rPr>
              <w:t xml:space="preserve">    1 872 866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E88824E" w14:textId="77777777" w:rsidR="00447AE9" w:rsidRDefault="00447AE9">
            <w:pPr>
              <w:jc w:val="center"/>
            </w:pPr>
            <w:r>
              <w:rPr>
                <w:b/>
                <w:bCs/>
                <w:sz w:val="20"/>
                <w:szCs w:val="20"/>
              </w:rPr>
              <w:t>39</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5FBD496" w14:textId="77777777" w:rsidR="00447AE9" w:rsidRDefault="00447AE9">
            <w:pPr>
              <w:jc w:val="center"/>
              <w:rPr>
                <w:b/>
                <w:bCs/>
                <w:sz w:val="20"/>
                <w:szCs w:val="20"/>
              </w:rPr>
            </w:pPr>
            <w:r>
              <w:rPr>
                <w:b/>
                <w:bCs/>
                <w:sz w:val="20"/>
                <w:szCs w:val="20"/>
              </w:rPr>
              <w:t xml:space="preserve">    5 036 491 Kč </w:t>
            </w:r>
          </w:p>
        </w:tc>
      </w:tr>
      <w:tr w:rsidR="00447AE9" w14:paraId="12EF228B"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D266343" w14:textId="77777777" w:rsidR="00447AE9" w:rsidRDefault="00447AE9">
            <w:pPr>
              <w:jc w:val="center"/>
            </w:pPr>
            <w:r>
              <w:rPr>
                <w:b/>
                <w:bCs/>
                <w:sz w:val="20"/>
                <w:szCs w:val="20"/>
              </w:rPr>
              <w:t>15</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BAD4E3" w14:textId="77777777" w:rsidR="00447AE9" w:rsidRDefault="00447AE9">
            <w:pPr>
              <w:jc w:val="center"/>
              <w:rPr>
                <w:b/>
                <w:bCs/>
                <w:sz w:val="20"/>
                <w:szCs w:val="20"/>
              </w:rPr>
            </w:pPr>
            <w:r>
              <w:rPr>
                <w:b/>
                <w:bCs/>
                <w:sz w:val="20"/>
                <w:szCs w:val="20"/>
              </w:rPr>
              <w:t xml:space="preserve">    1 999 411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E85D03E" w14:textId="77777777" w:rsidR="00447AE9" w:rsidRDefault="00447AE9">
            <w:pPr>
              <w:jc w:val="center"/>
            </w:pPr>
            <w:r>
              <w:rPr>
                <w:b/>
                <w:bCs/>
                <w:sz w:val="20"/>
                <w:szCs w:val="20"/>
              </w:rPr>
              <w:t>40</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E92DB2C" w14:textId="77777777" w:rsidR="00447AE9" w:rsidRDefault="00447AE9">
            <w:pPr>
              <w:jc w:val="center"/>
              <w:rPr>
                <w:b/>
                <w:bCs/>
                <w:sz w:val="20"/>
                <w:szCs w:val="20"/>
              </w:rPr>
            </w:pPr>
            <w:r>
              <w:rPr>
                <w:b/>
                <w:bCs/>
                <w:sz w:val="20"/>
                <w:szCs w:val="20"/>
              </w:rPr>
              <w:t xml:space="preserve">    5 163 036 Kč </w:t>
            </w:r>
          </w:p>
        </w:tc>
      </w:tr>
      <w:tr w:rsidR="00447AE9" w14:paraId="56071F9C"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0CF633" w14:textId="77777777" w:rsidR="00447AE9" w:rsidRDefault="00447AE9">
            <w:pPr>
              <w:jc w:val="center"/>
            </w:pPr>
            <w:r>
              <w:rPr>
                <w:b/>
                <w:bCs/>
                <w:sz w:val="20"/>
                <w:szCs w:val="20"/>
              </w:rPr>
              <w:t>16</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4DFC36" w14:textId="77777777" w:rsidR="00447AE9" w:rsidRDefault="00447AE9">
            <w:pPr>
              <w:jc w:val="center"/>
              <w:rPr>
                <w:b/>
                <w:bCs/>
                <w:sz w:val="20"/>
                <w:szCs w:val="20"/>
              </w:rPr>
            </w:pPr>
            <w:r>
              <w:rPr>
                <w:b/>
                <w:bCs/>
                <w:sz w:val="20"/>
                <w:szCs w:val="20"/>
              </w:rPr>
              <w:t xml:space="preserve">    2 125 956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9D17CDC" w14:textId="77777777" w:rsidR="00447AE9" w:rsidRDefault="00447AE9">
            <w:pPr>
              <w:jc w:val="center"/>
            </w:pPr>
            <w:r>
              <w:rPr>
                <w:b/>
                <w:bCs/>
                <w:sz w:val="20"/>
                <w:szCs w:val="20"/>
              </w:rPr>
              <w:t>41</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4AFC436" w14:textId="77777777" w:rsidR="00447AE9" w:rsidRDefault="00447AE9">
            <w:pPr>
              <w:jc w:val="center"/>
              <w:rPr>
                <w:b/>
                <w:bCs/>
                <w:sz w:val="20"/>
                <w:szCs w:val="20"/>
              </w:rPr>
            </w:pPr>
            <w:r>
              <w:rPr>
                <w:b/>
                <w:bCs/>
                <w:sz w:val="20"/>
                <w:szCs w:val="20"/>
              </w:rPr>
              <w:t xml:space="preserve">    5 289 581 Kč </w:t>
            </w:r>
          </w:p>
        </w:tc>
      </w:tr>
      <w:tr w:rsidR="00447AE9" w14:paraId="5CD92BB1"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549543" w14:textId="77777777" w:rsidR="00447AE9" w:rsidRDefault="00447AE9">
            <w:pPr>
              <w:jc w:val="center"/>
            </w:pPr>
            <w:r>
              <w:rPr>
                <w:b/>
                <w:bCs/>
                <w:sz w:val="20"/>
                <w:szCs w:val="20"/>
              </w:rPr>
              <w:t>17</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EF1344" w14:textId="77777777" w:rsidR="00447AE9" w:rsidRDefault="00447AE9">
            <w:pPr>
              <w:jc w:val="center"/>
              <w:rPr>
                <w:b/>
                <w:bCs/>
                <w:sz w:val="20"/>
                <w:szCs w:val="20"/>
              </w:rPr>
            </w:pPr>
            <w:r>
              <w:rPr>
                <w:b/>
                <w:bCs/>
                <w:sz w:val="20"/>
                <w:szCs w:val="20"/>
              </w:rPr>
              <w:t xml:space="preserve">    2 252 501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3C2EF11" w14:textId="77777777" w:rsidR="00447AE9" w:rsidRDefault="00447AE9">
            <w:pPr>
              <w:jc w:val="center"/>
            </w:pPr>
            <w:r>
              <w:rPr>
                <w:b/>
                <w:bCs/>
                <w:sz w:val="20"/>
                <w:szCs w:val="20"/>
              </w:rPr>
              <w:t>42</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85A5770" w14:textId="77777777" w:rsidR="00447AE9" w:rsidRDefault="00447AE9">
            <w:pPr>
              <w:jc w:val="center"/>
              <w:rPr>
                <w:b/>
                <w:bCs/>
                <w:sz w:val="20"/>
                <w:szCs w:val="20"/>
              </w:rPr>
            </w:pPr>
            <w:r>
              <w:rPr>
                <w:b/>
                <w:bCs/>
                <w:sz w:val="20"/>
                <w:szCs w:val="20"/>
              </w:rPr>
              <w:t xml:space="preserve">    5 416 126 Kč </w:t>
            </w:r>
          </w:p>
        </w:tc>
      </w:tr>
      <w:tr w:rsidR="00447AE9" w14:paraId="2558DB41"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6E147F" w14:textId="77777777" w:rsidR="00447AE9" w:rsidRDefault="00447AE9">
            <w:pPr>
              <w:jc w:val="center"/>
            </w:pPr>
            <w:r>
              <w:rPr>
                <w:b/>
                <w:bCs/>
                <w:sz w:val="20"/>
                <w:szCs w:val="20"/>
              </w:rPr>
              <w:t>18</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1514E5" w14:textId="77777777" w:rsidR="00447AE9" w:rsidRDefault="00447AE9">
            <w:pPr>
              <w:jc w:val="center"/>
              <w:rPr>
                <w:b/>
                <w:bCs/>
                <w:sz w:val="20"/>
                <w:szCs w:val="20"/>
              </w:rPr>
            </w:pPr>
            <w:r>
              <w:rPr>
                <w:b/>
                <w:bCs/>
                <w:sz w:val="20"/>
                <w:szCs w:val="20"/>
              </w:rPr>
              <w:t xml:space="preserve">    2 379 046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7CF56FA" w14:textId="77777777" w:rsidR="00447AE9" w:rsidRDefault="00447AE9">
            <w:pPr>
              <w:jc w:val="center"/>
            </w:pPr>
            <w:r>
              <w:rPr>
                <w:b/>
                <w:bCs/>
                <w:sz w:val="20"/>
                <w:szCs w:val="20"/>
              </w:rPr>
              <w:t>43</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848A117" w14:textId="77777777" w:rsidR="00447AE9" w:rsidRDefault="00447AE9">
            <w:pPr>
              <w:jc w:val="center"/>
              <w:rPr>
                <w:b/>
                <w:bCs/>
                <w:sz w:val="20"/>
                <w:szCs w:val="20"/>
              </w:rPr>
            </w:pPr>
            <w:r>
              <w:rPr>
                <w:b/>
                <w:bCs/>
                <w:sz w:val="20"/>
                <w:szCs w:val="20"/>
              </w:rPr>
              <w:t xml:space="preserve">    5 542 671 Kč </w:t>
            </w:r>
          </w:p>
        </w:tc>
      </w:tr>
      <w:tr w:rsidR="00447AE9" w14:paraId="3E8FECBF"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E015AB" w14:textId="77777777" w:rsidR="00447AE9" w:rsidRDefault="00447AE9">
            <w:pPr>
              <w:jc w:val="center"/>
            </w:pPr>
            <w:r>
              <w:rPr>
                <w:b/>
                <w:bCs/>
                <w:sz w:val="20"/>
                <w:szCs w:val="20"/>
              </w:rPr>
              <w:t>19</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AC1EC9" w14:textId="77777777" w:rsidR="00447AE9" w:rsidRDefault="00447AE9">
            <w:pPr>
              <w:jc w:val="center"/>
              <w:rPr>
                <w:b/>
                <w:bCs/>
                <w:sz w:val="20"/>
                <w:szCs w:val="20"/>
              </w:rPr>
            </w:pPr>
            <w:r>
              <w:rPr>
                <w:b/>
                <w:bCs/>
                <w:sz w:val="20"/>
                <w:szCs w:val="20"/>
              </w:rPr>
              <w:t xml:space="preserve">    2 505 591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525BA72" w14:textId="77777777" w:rsidR="00447AE9" w:rsidRDefault="00447AE9">
            <w:pPr>
              <w:jc w:val="center"/>
            </w:pPr>
            <w:r>
              <w:rPr>
                <w:b/>
                <w:bCs/>
                <w:sz w:val="20"/>
                <w:szCs w:val="20"/>
              </w:rPr>
              <w:t>44</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36E6E73" w14:textId="77777777" w:rsidR="00447AE9" w:rsidRDefault="00447AE9">
            <w:pPr>
              <w:jc w:val="center"/>
              <w:rPr>
                <w:b/>
                <w:bCs/>
                <w:sz w:val="20"/>
                <w:szCs w:val="20"/>
              </w:rPr>
            </w:pPr>
            <w:r>
              <w:rPr>
                <w:b/>
                <w:bCs/>
                <w:sz w:val="20"/>
                <w:szCs w:val="20"/>
              </w:rPr>
              <w:t xml:space="preserve">    5 669 216 Kč </w:t>
            </w:r>
          </w:p>
        </w:tc>
      </w:tr>
      <w:tr w:rsidR="00447AE9" w14:paraId="100F10D4"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7A335B" w14:textId="77777777" w:rsidR="00447AE9" w:rsidRDefault="00447AE9">
            <w:pPr>
              <w:jc w:val="center"/>
            </w:pPr>
            <w:r>
              <w:rPr>
                <w:b/>
                <w:bCs/>
                <w:sz w:val="20"/>
                <w:szCs w:val="20"/>
              </w:rPr>
              <w:t>20</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10E6FA" w14:textId="77777777" w:rsidR="00447AE9" w:rsidRDefault="00447AE9">
            <w:pPr>
              <w:jc w:val="center"/>
              <w:rPr>
                <w:b/>
                <w:bCs/>
                <w:sz w:val="20"/>
                <w:szCs w:val="20"/>
              </w:rPr>
            </w:pPr>
            <w:r>
              <w:rPr>
                <w:b/>
                <w:bCs/>
                <w:sz w:val="20"/>
                <w:szCs w:val="20"/>
              </w:rPr>
              <w:t xml:space="preserve">    2 632 136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479D225" w14:textId="77777777" w:rsidR="00447AE9" w:rsidRDefault="00447AE9">
            <w:pPr>
              <w:jc w:val="center"/>
            </w:pPr>
            <w:r>
              <w:rPr>
                <w:b/>
                <w:bCs/>
                <w:sz w:val="20"/>
                <w:szCs w:val="20"/>
              </w:rPr>
              <w:t>45</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07FC0AB" w14:textId="77777777" w:rsidR="00447AE9" w:rsidRDefault="00447AE9">
            <w:pPr>
              <w:jc w:val="center"/>
              <w:rPr>
                <w:b/>
                <w:bCs/>
                <w:sz w:val="20"/>
                <w:szCs w:val="20"/>
              </w:rPr>
            </w:pPr>
            <w:r>
              <w:rPr>
                <w:b/>
                <w:bCs/>
                <w:sz w:val="20"/>
                <w:szCs w:val="20"/>
              </w:rPr>
              <w:t xml:space="preserve">    5 795 761 Kč </w:t>
            </w:r>
          </w:p>
        </w:tc>
      </w:tr>
      <w:tr w:rsidR="00447AE9" w14:paraId="01EBCA1D"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D054B0A" w14:textId="77777777" w:rsidR="00447AE9" w:rsidRDefault="00447AE9">
            <w:pPr>
              <w:jc w:val="center"/>
            </w:pPr>
            <w:r>
              <w:rPr>
                <w:b/>
                <w:bCs/>
                <w:sz w:val="20"/>
                <w:szCs w:val="20"/>
              </w:rPr>
              <w:t>21</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1C970C" w14:textId="77777777" w:rsidR="00447AE9" w:rsidRDefault="00447AE9">
            <w:pPr>
              <w:jc w:val="center"/>
              <w:rPr>
                <w:b/>
                <w:bCs/>
                <w:sz w:val="20"/>
                <w:szCs w:val="20"/>
              </w:rPr>
            </w:pPr>
            <w:r>
              <w:rPr>
                <w:b/>
                <w:bCs/>
                <w:sz w:val="20"/>
                <w:szCs w:val="20"/>
              </w:rPr>
              <w:t xml:space="preserve">    2 758 681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6DB8E16" w14:textId="77777777" w:rsidR="00447AE9" w:rsidRDefault="00447AE9">
            <w:pPr>
              <w:jc w:val="center"/>
            </w:pPr>
            <w:r>
              <w:rPr>
                <w:b/>
                <w:bCs/>
                <w:sz w:val="20"/>
                <w:szCs w:val="20"/>
              </w:rPr>
              <w:t>46</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FE6BCF4" w14:textId="77777777" w:rsidR="00447AE9" w:rsidRDefault="00447AE9">
            <w:pPr>
              <w:jc w:val="center"/>
              <w:rPr>
                <w:b/>
                <w:bCs/>
                <w:sz w:val="20"/>
                <w:szCs w:val="20"/>
              </w:rPr>
            </w:pPr>
            <w:r>
              <w:rPr>
                <w:b/>
                <w:bCs/>
                <w:sz w:val="20"/>
                <w:szCs w:val="20"/>
              </w:rPr>
              <w:t xml:space="preserve">    5 922 306 Kč </w:t>
            </w:r>
          </w:p>
        </w:tc>
      </w:tr>
      <w:tr w:rsidR="00447AE9" w14:paraId="5EEA862A"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DB57C8C" w14:textId="77777777" w:rsidR="00447AE9" w:rsidRDefault="00447AE9">
            <w:pPr>
              <w:jc w:val="center"/>
            </w:pPr>
            <w:r>
              <w:rPr>
                <w:b/>
                <w:bCs/>
                <w:sz w:val="20"/>
                <w:szCs w:val="20"/>
              </w:rPr>
              <w:t>22</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77E1AD" w14:textId="77777777" w:rsidR="00447AE9" w:rsidRDefault="00447AE9">
            <w:pPr>
              <w:jc w:val="center"/>
              <w:rPr>
                <w:b/>
                <w:bCs/>
                <w:sz w:val="20"/>
                <w:szCs w:val="20"/>
              </w:rPr>
            </w:pPr>
            <w:r>
              <w:rPr>
                <w:b/>
                <w:bCs/>
                <w:sz w:val="20"/>
                <w:szCs w:val="20"/>
              </w:rPr>
              <w:t xml:space="preserve">    2 885 226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0197A06" w14:textId="77777777" w:rsidR="00447AE9" w:rsidRDefault="00447AE9">
            <w:pPr>
              <w:jc w:val="center"/>
            </w:pPr>
            <w:r>
              <w:rPr>
                <w:b/>
                <w:bCs/>
                <w:sz w:val="20"/>
                <w:szCs w:val="20"/>
              </w:rPr>
              <w:t>47</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C6AF94A" w14:textId="77777777" w:rsidR="00447AE9" w:rsidRDefault="00447AE9">
            <w:pPr>
              <w:jc w:val="center"/>
              <w:rPr>
                <w:b/>
                <w:bCs/>
                <w:sz w:val="20"/>
                <w:szCs w:val="20"/>
              </w:rPr>
            </w:pPr>
            <w:r>
              <w:rPr>
                <w:b/>
                <w:bCs/>
                <w:sz w:val="20"/>
                <w:szCs w:val="20"/>
              </w:rPr>
              <w:t xml:space="preserve">    6 048 851 Kč </w:t>
            </w:r>
          </w:p>
        </w:tc>
      </w:tr>
      <w:tr w:rsidR="00447AE9" w14:paraId="3462D388"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29F1AA" w14:textId="77777777" w:rsidR="00447AE9" w:rsidRDefault="00447AE9">
            <w:pPr>
              <w:jc w:val="center"/>
            </w:pPr>
            <w:r>
              <w:rPr>
                <w:b/>
                <w:bCs/>
                <w:sz w:val="20"/>
                <w:szCs w:val="20"/>
              </w:rPr>
              <w:t>23</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2902FC" w14:textId="77777777" w:rsidR="00447AE9" w:rsidRDefault="00447AE9">
            <w:pPr>
              <w:jc w:val="center"/>
              <w:rPr>
                <w:b/>
                <w:bCs/>
                <w:sz w:val="20"/>
                <w:szCs w:val="20"/>
              </w:rPr>
            </w:pPr>
            <w:r>
              <w:rPr>
                <w:b/>
                <w:bCs/>
                <w:sz w:val="20"/>
                <w:szCs w:val="20"/>
              </w:rPr>
              <w:t xml:space="preserve">    3 011 771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A6483E5" w14:textId="77777777" w:rsidR="00447AE9" w:rsidRDefault="00447AE9">
            <w:pPr>
              <w:jc w:val="center"/>
            </w:pPr>
            <w:r>
              <w:rPr>
                <w:b/>
                <w:bCs/>
                <w:sz w:val="20"/>
                <w:szCs w:val="20"/>
              </w:rPr>
              <w:t>48</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D24B5E4" w14:textId="77777777" w:rsidR="00447AE9" w:rsidRDefault="00447AE9">
            <w:pPr>
              <w:jc w:val="center"/>
              <w:rPr>
                <w:b/>
                <w:bCs/>
                <w:sz w:val="20"/>
                <w:szCs w:val="20"/>
              </w:rPr>
            </w:pPr>
            <w:r>
              <w:rPr>
                <w:b/>
                <w:bCs/>
                <w:sz w:val="20"/>
                <w:szCs w:val="20"/>
              </w:rPr>
              <w:t xml:space="preserve">    6 175 396 Kč </w:t>
            </w:r>
          </w:p>
        </w:tc>
      </w:tr>
      <w:tr w:rsidR="00447AE9" w14:paraId="7D16E200"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59CADE" w14:textId="77777777" w:rsidR="00447AE9" w:rsidRDefault="00447AE9">
            <w:pPr>
              <w:jc w:val="center"/>
            </w:pPr>
            <w:r>
              <w:rPr>
                <w:b/>
                <w:bCs/>
                <w:sz w:val="20"/>
                <w:szCs w:val="20"/>
              </w:rPr>
              <w:t>24</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C884E8" w14:textId="77777777" w:rsidR="00447AE9" w:rsidRDefault="00447AE9">
            <w:pPr>
              <w:jc w:val="center"/>
              <w:rPr>
                <w:b/>
                <w:bCs/>
                <w:sz w:val="20"/>
                <w:szCs w:val="20"/>
              </w:rPr>
            </w:pPr>
            <w:r>
              <w:rPr>
                <w:b/>
                <w:bCs/>
                <w:sz w:val="20"/>
                <w:szCs w:val="20"/>
              </w:rPr>
              <w:t xml:space="preserve">    3 138 316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89FA573" w14:textId="77777777" w:rsidR="00447AE9" w:rsidRDefault="00447AE9">
            <w:pPr>
              <w:jc w:val="center"/>
            </w:pPr>
            <w:r>
              <w:rPr>
                <w:b/>
                <w:bCs/>
                <w:sz w:val="20"/>
                <w:szCs w:val="20"/>
              </w:rPr>
              <w:t>49</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F9B1F90" w14:textId="77777777" w:rsidR="00447AE9" w:rsidRDefault="00447AE9">
            <w:pPr>
              <w:jc w:val="center"/>
              <w:rPr>
                <w:b/>
                <w:bCs/>
                <w:sz w:val="20"/>
                <w:szCs w:val="20"/>
              </w:rPr>
            </w:pPr>
            <w:r>
              <w:rPr>
                <w:b/>
                <w:bCs/>
                <w:sz w:val="20"/>
                <w:szCs w:val="20"/>
              </w:rPr>
              <w:t xml:space="preserve">    6 301 941 Kč </w:t>
            </w:r>
          </w:p>
        </w:tc>
      </w:tr>
      <w:tr w:rsidR="00447AE9" w14:paraId="019E9293" w14:textId="77777777" w:rsidTr="00447AE9">
        <w:trPr>
          <w:trHeight w:val="25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E92297" w14:textId="77777777" w:rsidR="00447AE9" w:rsidRDefault="00447AE9">
            <w:pPr>
              <w:jc w:val="center"/>
            </w:pPr>
            <w:r>
              <w:rPr>
                <w:b/>
                <w:bCs/>
                <w:sz w:val="20"/>
                <w:szCs w:val="20"/>
              </w:rPr>
              <w:t>25</w:t>
            </w:r>
          </w:p>
        </w:tc>
        <w:tc>
          <w:tcPr>
            <w:tcW w:w="15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E10028" w14:textId="77777777" w:rsidR="00447AE9" w:rsidRDefault="00447AE9">
            <w:pPr>
              <w:jc w:val="center"/>
              <w:rPr>
                <w:b/>
                <w:bCs/>
                <w:sz w:val="20"/>
                <w:szCs w:val="20"/>
              </w:rPr>
            </w:pPr>
            <w:r>
              <w:rPr>
                <w:b/>
                <w:bCs/>
                <w:sz w:val="20"/>
                <w:szCs w:val="20"/>
              </w:rPr>
              <w:t xml:space="preserve">    3 264 861 Kč </w:t>
            </w:r>
          </w:p>
        </w:tc>
        <w:tc>
          <w:tcPr>
            <w:tcW w:w="7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DCFB767" w14:textId="77777777" w:rsidR="00447AE9" w:rsidRDefault="00447AE9">
            <w:pPr>
              <w:jc w:val="center"/>
            </w:pPr>
            <w:r>
              <w:rPr>
                <w:b/>
                <w:bCs/>
                <w:sz w:val="20"/>
                <w:szCs w:val="20"/>
              </w:rPr>
              <w:t>50</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4BBBF17" w14:textId="77777777" w:rsidR="00447AE9" w:rsidRDefault="00447AE9">
            <w:pPr>
              <w:jc w:val="center"/>
              <w:rPr>
                <w:b/>
                <w:bCs/>
                <w:sz w:val="20"/>
                <w:szCs w:val="20"/>
              </w:rPr>
            </w:pPr>
            <w:r>
              <w:rPr>
                <w:b/>
                <w:bCs/>
                <w:sz w:val="20"/>
                <w:szCs w:val="20"/>
              </w:rPr>
              <w:t xml:space="preserve">    6 428 486 Kč </w:t>
            </w:r>
          </w:p>
        </w:tc>
      </w:tr>
    </w:tbl>
    <w:p w14:paraId="3B69D43D" w14:textId="77777777" w:rsidR="00447AE9" w:rsidRDefault="00447AE9" w:rsidP="00447AE9">
      <w:pPr>
        <w:rPr>
          <w:b/>
          <w:bCs/>
          <w:color w:val="1F497D"/>
        </w:rPr>
      </w:pPr>
    </w:p>
    <w:p w14:paraId="660002E6" w14:textId="77777777" w:rsidR="00447AE9" w:rsidRDefault="00447AE9" w:rsidP="00447AE9">
      <w:pPr>
        <w:rPr>
          <w:b/>
          <w:bCs/>
          <w:sz w:val="32"/>
          <w:szCs w:val="32"/>
          <w:u w:val="single"/>
        </w:rPr>
      </w:pPr>
      <w:r>
        <w:rPr>
          <w:b/>
          <w:bCs/>
          <w:sz w:val="32"/>
          <w:szCs w:val="32"/>
          <w:u w:val="single"/>
        </w:rPr>
        <w:t>Pro ty, co budou hlásit změny ve vozovém parku:</w:t>
      </w:r>
    </w:p>
    <w:p w14:paraId="297C1596" w14:textId="77777777" w:rsidR="00447AE9" w:rsidRDefault="00447AE9" w:rsidP="00F47A5C">
      <w:pPr>
        <w:jc w:val="both"/>
      </w:pPr>
      <w:r>
        <w:rPr>
          <w:b/>
          <w:bCs/>
        </w:rPr>
        <w:t>Přehled vozidel:</w:t>
      </w:r>
      <w:r>
        <w:t xml:space="preserve"> pomocí tohoto formuláře budete </w:t>
      </w:r>
      <w:r w:rsidR="00BC56DA">
        <w:t xml:space="preserve">dopravnímu úřadu </w:t>
      </w:r>
      <w:r>
        <w:t>nahlašovat mailem</w:t>
      </w:r>
      <w:r w:rsidR="00F47A5C">
        <w:t xml:space="preserve"> (</w:t>
      </w:r>
      <w:hyperlink r:id="rId5" w:history="1">
        <w:r w:rsidR="00F47A5C">
          <w:rPr>
            <w:rStyle w:val="Hypertextovodkaz"/>
            <w:sz w:val="20"/>
            <w:szCs w:val="20"/>
          </w:rPr>
          <w:t>manhal@kr-s.cz</w:t>
        </w:r>
      </w:hyperlink>
      <w:r w:rsidR="00F47A5C">
        <w:t>)</w:t>
      </w:r>
      <w:r>
        <w:t xml:space="preserve"> vozidla k podnikání ke koncesi v dopravě a jakoukoliv změnu.</w:t>
      </w:r>
    </w:p>
    <w:p w14:paraId="1854E1C7" w14:textId="77777777" w:rsidR="00447AE9" w:rsidRDefault="00447AE9" w:rsidP="00F47A5C">
      <w:pPr>
        <w:jc w:val="both"/>
        <w:rPr>
          <w:u w:val="single"/>
        </w:rPr>
      </w:pPr>
      <w:r>
        <w:rPr>
          <w:u w:val="single"/>
        </w:rPr>
        <w:t>Vysvětlivka při vyplňování tabulky dle technického průkazu:</w:t>
      </w:r>
    </w:p>
    <w:p w14:paraId="0B66514F" w14:textId="77777777" w:rsidR="00447AE9" w:rsidRDefault="00447AE9" w:rsidP="00A33DE9">
      <w:pPr>
        <w:jc w:val="both"/>
      </w:pPr>
      <w:r>
        <w:rPr>
          <w:b/>
          <w:bCs/>
        </w:rPr>
        <w:t>celková hmotnost</w:t>
      </w:r>
      <w:r w:rsidR="00BC56DA">
        <w:rPr>
          <w:b/>
          <w:bCs/>
        </w:rPr>
        <w:t xml:space="preserve"> </w:t>
      </w:r>
      <w:r>
        <w:t>=</w:t>
      </w:r>
      <w:r w:rsidR="00BC56DA">
        <w:t xml:space="preserve"> </w:t>
      </w:r>
      <w:r>
        <w:t>největší povolená hmotnost motorového vozidla</w:t>
      </w:r>
    </w:p>
    <w:p w14:paraId="6F49F825" w14:textId="77777777" w:rsidR="00447AE9" w:rsidRDefault="00447AE9" w:rsidP="00A33DE9">
      <w:pPr>
        <w:jc w:val="both"/>
      </w:pPr>
      <w:r>
        <w:rPr>
          <w:b/>
          <w:bCs/>
        </w:rPr>
        <w:t>užitečná hmotnost</w:t>
      </w:r>
      <w:r w:rsidR="00BC56DA">
        <w:rPr>
          <w:b/>
          <w:bCs/>
        </w:rPr>
        <w:t xml:space="preserve"> </w:t>
      </w:r>
      <w:r>
        <w:t>= největší povolená hmotnost motorového vozidla -</w:t>
      </w:r>
      <w:r w:rsidR="00BC56DA">
        <w:t xml:space="preserve"> </w:t>
      </w:r>
      <w:r>
        <w:t>(mínus) provozní hmotnost</w:t>
      </w:r>
    </w:p>
    <w:p w14:paraId="03C1A958" w14:textId="77777777" w:rsidR="007152DD" w:rsidRDefault="007152DD"/>
    <w:sectPr w:rsidR="00715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703C"/>
    <w:multiLevelType w:val="hybridMultilevel"/>
    <w:tmpl w:val="FDAEBC0C"/>
    <w:lvl w:ilvl="0" w:tplc="183C28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F06908"/>
    <w:multiLevelType w:val="hybridMultilevel"/>
    <w:tmpl w:val="39D85B12"/>
    <w:lvl w:ilvl="0" w:tplc="72CEB84E">
      <w:numFmt w:val="bullet"/>
      <w:lvlText w:val="-"/>
      <w:lvlJc w:val="left"/>
      <w:pPr>
        <w:ind w:left="720" w:hanging="360"/>
      </w:pPr>
      <w:rPr>
        <w:rFonts w:ascii="Times New Roman" w:eastAsiaTheme="minorHAns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E1540C"/>
    <w:multiLevelType w:val="hybridMultilevel"/>
    <w:tmpl w:val="525265DA"/>
    <w:lvl w:ilvl="0" w:tplc="569278B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343D41"/>
    <w:multiLevelType w:val="hybridMultilevel"/>
    <w:tmpl w:val="F70042AE"/>
    <w:lvl w:ilvl="0" w:tplc="569278B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502165"/>
    <w:multiLevelType w:val="hybridMultilevel"/>
    <w:tmpl w:val="99AE3220"/>
    <w:lvl w:ilvl="0" w:tplc="569278B4">
      <w:numFmt w:val="bullet"/>
      <w:lvlText w:val="-"/>
      <w:lvlJc w:val="left"/>
      <w:pPr>
        <w:ind w:left="958" w:hanging="360"/>
      </w:pPr>
      <w:rPr>
        <w:rFonts w:ascii="Times New Roman" w:eastAsiaTheme="minorHAnsi" w:hAnsi="Times New Roman" w:cs="Times New Roman" w:hint="default"/>
      </w:rPr>
    </w:lvl>
    <w:lvl w:ilvl="1" w:tplc="04050003" w:tentative="1">
      <w:start w:val="1"/>
      <w:numFmt w:val="bullet"/>
      <w:lvlText w:val="o"/>
      <w:lvlJc w:val="left"/>
      <w:pPr>
        <w:ind w:left="1678" w:hanging="360"/>
      </w:pPr>
      <w:rPr>
        <w:rFonts w:ascii="Courier New" w:hAnsi="Courier New" w:cs="Courier New" w:hint="default"/>
      </w:rPr>
    </w:lvl>
    <w:lvl w:ilvl="2" w:tplc="04050005" w:tentative="1">
      <w:start w:val="1"/>
      <w:numFmt w:val="bullet"/>
      <w:lvlText w:val=""/>
      <w:lvlJc w:val="left"/>
      <w:pPr>
        <w:ind w:left="2398" w:hanging="360"/>
      </w:pPr>
      <w:rPr>
        <w:rFonts w:ascii="Wingdings" w:hAnsi="Wingdings" w:hint="default"/>
      </w:rPr>
    </w:lvl>
    <w:lvl w:ilvl="3" w:tplc="04050001" w:tentative="1">
      <w:start w:val="1"/>
      <w:numFmt w:val="bullet"/>
      <w:lvlText w:val=""/>
      <w:lvlJc w:val="left"/>
      <w:pPr>
        <w:ind w:left="3118" w:hanging="360"/>
      </w:pPr>
      <w:rPr>
        <w:rFonts w:ascii="Symbol" w:hAnsi="Symbol" w:hint="default"/>
      </w:rPr>
    </w:lvl>
    <w:lvl w:ilvl="4" w:tplc="04050003" w:tentative="1">
      <w:start w:val="1"/>
      <w:numFmt w:val="bullet"/>
      <w:lvlText w:val="o"/>
      <w:lvlJc w:val="left"/>
      <w:pPr>
        <w:ind w:left="3838" w:hanging="360"/>
      </w:pPr>
      <w:rPr>
        <w:rFonts w:ascii="Courier New" w:hAnsi="Courier New" w:cs="Courier New" w:hint="default"/>
      </w:rPr>
    </w:lvl>
    <w:lvl w:ilvl="5" w:tplc="04050005" w:tentative="1">
      <w:start w:val="1"/>
      <w:numFmt w:val="bullet"/>
      <w:lvlText w:val=""/>
      <w:lvlJc w:val="left"/>
      <w:pPr>
        <w:ind w:left="4558" w:hanging="360"/>
      </w:pPr>
      <w:rPr>
        <w:rFonts w:ascii="Wingdings" w:hAnsi="Wingdings" w:hint="default"/>
      </w:rPr>
    </w:lvl>
    <w:lvl w:ilvl="6" w:tplc="04050001" w:tentative="1">
      <w:start w:val="1"/>
      <w:numFmt w:val="bullet"/>
      <w:lvlText w:val=""/>
      <w:lvlJc w:val="left"/>
      <w:pPr>
        <w:ind w:left="5278" w:hanging="360"/>
      </w:pPr>
      <w:rPr>
        <w:rFonts w:ascii="Symbol" w:hAnsi="Symbol" w:hint="default"/>
      </w:rPr>
    </w:lvl>
    <w:lvl w:ilvl="7" w:tplc="04050003" w:tentative="1">
      <w:start w:val="1"/>
      <w:numFmt w:val="bullet"/>
      <w:lvlText w:val="o"/>
      <w:lvlJc w:val="left"/>
      <w:pPr>
        <w:ind w:left="5998" w:hanging="360"/>
      </w:pPr>
      <w:rPr>
        <w:rFonts w:ascii="Courier New" w:hAnsi="Courier New" w:cs="Courier New" w:hint="default"/>
      </w:rPr>
    </w:lvl>
    <w:lvl w:ilvl="8" w:tplc="04050005" w:tentative="1">
      <w:start w:val="1"/>
      <w:numFmt w:val="bullet"/>
      <w:lvlText w:val=""/>
      <w:lvlJc w:val="left"/>
      <w:pPr>
        <w:ind w:left="6718" w:hanging="360"/>
      </w:pPr>
      <w:rPr>
        <w:rFonts w:ascii="Wingdings" w:hAnsi="Wingdings" w:hint="default"/>
      </w:rPr>
    </w:lvl>
  </w:abstractNum>
  <w:abstractNum w:abstractNumId="5" w15:restartNumberingAfterBreak="0">
    <w:nsid w:val="653C6C66"/>
    <w:multiLevelType w:val="hybridMultilevel"/>
    <w:tmpl w:val="26E0BDB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B733C5"/>
    <w:multiLevelType w:val="hybridMultilevel"/>
    <w:tmpl w:val="AABED744"/>
    <w:lvl w:ilvl="0" w:tplc="04050001">
      <w:start w:val="1"/>
      <w:numFmt w:val="bullet"/>
      <w:lvlText w:val=""/>
      <w:lvlJc w:val="left"/>
      <w:pPr>
        <w:ind w:left="958" w:hanging="360"/>
      </w:pPr>
      <w:rPr>
        <w:rFonts w:ascii="Symbol" w:hAnsi="Symbol" w:hint="default"/>
      </w:rPr>
    </w:lvl>
    <w:lvl w:ilvl="1" w:tplc="04050003" w:tentative="1">
      <w:start w:val="1"/>
      <w:numFmt w:val="bullet"/>
      <w:lvlText w:val="o"/>
      <w:lvlJc w:val="left"/>
      <w:pPr>
        <w:ind w:left="1678" w:hanging="360"/>
      </w:pPr>
      <w:rPr>
        <w:rFonts w:ascii="Courier New" w:hAnsi="Courier New" w:cs="Courier New" w:hint="default"/>
      </w:rPr>
    </w:lvl>
    <w:lvl w:ilvl="2" w:tplc="04050005" w:tentative="1">
      <w:start w:val="1"/>
      <w:numFmt w:val="bullet"/>
      <w:lvlText w:val=""/>
      <w:lvlJc w:val="left"/>
      <w:pPr>
        <w:ind w:left="2398" w:hanging="360"/>
      </w:pPr>
      <w:rPr>
        <w:rFonts w:ascii="Wingdings" w:hAnsi="Wingdings" w:hint="default"/>
      </w:rPr>
    </w:lvl>
    <w:lvl w:ilvl="3" w:tplc="04050001" w:tentative="1">
      <w:start w:val="1"/>
      <w:numFmt w:val="bullet"/>
      <w:lvlText w:val=""/>
      <w:lvlJc w:val="left"/>
      <w:pPr>
        <w:ind w:left="3118" w:hanging="360"/>
      </w:pPr>
      <w:rPr>
        <w:rFonts w:ascii="Symbol" w:hAnsi="Symbol" w:hint="default"/>
      </w:rPr>
    </w:lvl>
    <w:lvl w:ilvl="4" w:tplc="04050003" w:tentative="1">
      <w:start w:val="1"/>
      <w:numFmt w:val="bullet"/>
      <w:lvlText w:val="o"/>
      <w:lvlJc w:val="left"/>
      <w:pPr>
        <w:ind w:left="3838" w:hanging="360"/>
      </w:pPr>
      <w:rPr>
        <w:rFonts w:ascii="Courier New" w:hAnsi="Courier New" w:cs="Courier New" w:hint="default"/>
      </w:rPr>
    </w:lvl>
    <w:lvl w:ilvl="5" w:tplc="04050005" w:tentative="1">
      <w:start w:val="1"/>
      <w:numFmt w:val="bullet"/>
      <w:lvlText w:val=""/>
      <w:lvlJc w:val="left"/>
      <w:pPr>
        <w:ind w:left="4558" w:hanging="360"/>
      </w:pPr>
      <w:rPr>
        <w:rFonts w:ascii="Wingdings" w:hAnsi="Wingdings" w:hint="default"/>
      </w:rPr>
    </w:lvl>
    <w:lvl w:ilvl="6" w:tplc="04050001" w:tentative="1">
      <w:start w:val="1"/>
      <w:numFmt w:val="bullet"/>
      <w:lvlText w:val=""/>
      <w:lvlJc w:val="left"/>
      <w:pPr>
        <w:ind w:left="5278" w:hanging="360"/>
      </w:pPr>
      <w:rPr>
        <w:rFonts w:ascii="Symbol" w:hAnsi="Symbol" w:hint="default"/>
      </w:rPr>
    </w:lvl>
    <w:lvl w:ilvl="7" w:tplc="04050003" w:tentative="1">
      <w:start w:val="1"/>
      <w:numFmt w:val="bullet"/>
      <w:lvlText w:val="o"/>
      <w:lvlJc w:val="left"/>
      <w:pPr>
        <w:ind w:left="5998" w:hanging="360"/>
      </w:pPr>
      <w:rPr>
        <w:rFonts w:ascii="Courier New" w:hAnsi="Courier New" w:cs="Courier New" w:hint="default"/>
      </w:rPr>
    </w:lvl>
    <w:lvl w:ilvl="8" w:tplc="04050005" w:tentative="1">
      <w:start w:val="1"/>
      <w:numFmt w:val="bullet"/>
      <w:lvlText w:val=""/>
      <w:lvlJc w:val="left"/>
      <w:pPr>
        <w:ind w:left="6718"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7B"/>
    <w:rsid w:val="0013557B"/>
    <w:rsid w:val="001C0BDC"/>
    <w:rsid w:val="00447AE9"/>
    <w:rsid w:val="007152DD"/>
    <w:rsid w:val="00A33DE9"/>
    <w:rsid w:val="00BC56DA"/>
    <w:rsid w:val="00D6487F"/>
    <w:rsid w:val="00DB4FC1"/>
    <w:rsid w:val="00F47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29FC"/>
  <w15:docId w15:val="{4473F2FA-486E-4BE3-BE4E-2734E1AD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7AE9"/>
    <w:pPr>
      <w:spacing w:after="0" w:line="240" w:lineRule="auto"/>
    </w:pPr>
    <w:rPr>
      <w:rFonts w:ascii="Times New Roman" w:hAnsi="Times New Roman" w:cs="Times New Roman"/>
      <w:sz w:val="24"/>
      <w:szCs w:val="24"/>
      <w:lang w:eastAsia="cs-CZ"/>
    </w:rPr>
  </w:style>
  <w:style w:type="paragraph" w:styleId="Nadpis9">
    <w:name w:val="heading 9"/>
    <w:basedOn w:val="Normln"/>
    <w:link w:val="Nadpis9Char"/>
    <w:uiPriority w:val="9"/>
    <w:unhideWhenUsed/>
    <w:qFormat/>
    <w:rsid w:val="00447AE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uiPriority w:val="9"/>
    <w:rsid w:val="00447AE9"/>
    <w:rPr>
      <w:rFonts w:ascii="Arial" w:hAnsi="Arial" w:cs="Arial"/>
      <w:lang w:eastAsia="cs-CZ"/>
    </w:rPr>
  </w:style>
  <w:style w:type="character" w:styleId="Siln">
    <w:name w:val="Strong"/>
    <w:basedOn w:val="Standardnpsmoodstavce"/>
    <w:uiPriority w:val="22"/>
    <w:qFormat/>
    <w:rsid w:val="00447AE9"/>
    <w:rPr>
      <w:rFonts w:ascii="Verdana" w:hAnsi="Verdana" w:hint="default"/>
      <w:b/>
      <w:bCs/>
    </w:rPr>
  </w:style>
  <w:style w:type="paragraph" w:styleId="Zkladntext">
    <w:name w:val="Body Text"/>
    <w:basedOn w:val="Normln"/>
    <w:link w:val="ZkladntextChar"/>
    <w:uiPriority w:val="99"/>
    <w:semiHidden/>
    <w:unhideWhenUsed/>
    <w:rsid w:val="00447AE9"/>
    <w:pPr>
      <w:jc w:val="both"/>
    </w:pPr>
  </w:style>
  <w:style w:type="character" w:customStyle="1" w:styleId="ZkladntextChar">
    <w:name w:val="Základní text Char"/>
    <w:basedOn w:val="Standardnpsmoodstavce"/>
    <w:link w:val="Zkladntext"/>
    <w:uiPriority w:val="99"/>
    <w:semiHidden/>
    <w:rsid w:val="00447AE9"/>
    <w:rPr>
      <w:rFonts w:ascii="Times New Roman" w:hAnsi="Times New Roman" w:cs="Times New Roman"/>
      <w:sz w:val="24"/>
      <w:szCs w:val="24"/>
      <w:lang w:eastAsia="cs-CZ"/>
    </w:rPr>
  </w:style>
  <w:style w:type="paragraph" w:styleId="Odstavecseseznamem">
    <w:name w:val="List Paragraph"/>
    <w:basedOn w:val="Normln"/>
    <w:uiPriority w:val="34"/>
    <w:qFormat/>
    <w:rsid w:val="00447AE9"/>
    <w:pPr>
      <w:spacing w:after="160" w:line="252" w:lineRule="auto"/>
      <w:ind w:left="720"/>
      <w:contextualSpacing/>
    </w:pPr>
    <w:rPr>
      <w:lang w:eastAsia="en-US"/>
    </w:rPr>
  </w:style>
  <w:style w:type="character" w:styleId="Hypertextovodkaz">
    <w:name w:val="Hyperlink"/>
    <w:basedOn w:val="Standardnpsmoodstavce"/>
    <w:uiPriority w:val="99"/>
    <w:semiHidden/>
    <w:unhideWhenUsed/>
    <w:rsid w:val="00BC5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0333">
      <w:bodyDiv w:val="1"/>
      <w:marLeft w:val="0"/>
      <w:marRight w:val="0"/>
      <w:marTop w:val="0"/>
      <w:marBottom w:val="0"/>
      <w:divBdr>
        <w:top w:val="none" w:sz="0" w:space="0" w:color="auto"/>
        <w:left w:val="none" w:sz="0" w:space="0" w:color="auto"/>
        <w:bottom w:val="none" w:sz="0" w:space="0" w:color="auto"/>
        <w:right w:val="none" w:sz="0" w:space="0" w:color="auto"/>
      </w:divBdr>
    </w:div>
    <w:div w:id="162773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hal@kr-s.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1625</Words>
  <Characters>9588</Characters>
  <Application>Microsoft Office Word</Application>
  <DocSecurity>4</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Jandová Martina</dc:creator>
  <cp:keywords/>
  <dc:description/>
  <cp:lastModifiedBy>Cafourek Jiri</cp:lastModifiedBy>
  <cp:revision>2</cp:revision>
  <dcterms:created xsi:type="dcterms:W3CDTF">2022-01-17T11:28:00Z</dcterms:created>
  <dcterms:modified xsi:type="dcterms:W3CDTF">2022-01-17T11:28:00Z</dcterms:modified>
</cp:coreProperties>
</file>